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D14B6" w:rsidRDefault="009528E9">
      <w:pPr>
        <w:spacing w:after="40"/>
      </w:pPr>
      <w:proofErr w:type="spellStart"/>
      <w:r>
        <w:rPr>
          <w:b/>
          <w:bCs/>
          <w:color w:val="1F4E5F"/>
          <w:sz w:val="48"/>
          <w:szCs w:val="48"/>
        </w:rPr>
        <w:t>ClínicaCare</w:t>
      </w:r>
      <w:proofErr w:type="spellEnd"/>
    </w:p>
    <w:p w:rsidR="004D14B6" w:rsidRDefault="009528E9">
      <w:pPr>
        <w:spacing w:after="300"/>
      </w:pPr>
      <w:r>
        <w:rPr>
          <w:color w:val="444444"/>
          <w:sz w:val="28"/>
          <w:szCs w:val="28"/>
        </w:rPr>
        <w:t xml:space="preserve">Análise das Consultas SQL — </w:t>
      </w:r>
      <w:bookmarkStart w:id="0" w:name="_GoBack"/>
      <w:bookmarkEnd w:id="0"/>
      <w:r>
        <w:rPr>
          <w:color w:val="444444"/>
          <w:sz w:val="28"/>
          <w:szCs w:val="28"/>
        </w:rPr>
        <w:t>(DQL)</w:t>
      </w:r>
    </w:p>
    <w:p w:rsidR="004D14B6" w:rsidRDefault="009528E9">
      <w:pPr>
        <w:spacing w:after="120"/>
      </w:pPr>
      <w:r>
        <w:t xml:space="preserve">Este documento descreve cada consulta de agregação e de JOIN executada sobre o banco </w:t>
      </w:r>
      <w:proofErr w:type="spellStart"/>
      <w:r>
        <w:t>clinica_care</w:t>
      </w:r>
      <w:proofErr w:type="spellEnd"/>
      <w:r>
        <w:t>, os resultados obtidos e os insights práticos derivados para a gestão da clínica.</w:t>
      </w:r>
    </w:p>
    <w:p w:rsidR="004D14B6" w:rsidRDefault="009528E9">
      <w:pPr>
        <w:pStyle w:val="Ttulo1"/>
        <w:spacing w:before="300" w:after="150"/>
      </w:pPr>
      <w:r>
        <w:t>1. Consultas de Agregação</w:t>
      </w:r>
    </w:p>
    <w:p w:rsidR="004D14B6" w:rsidRDefault="009528E9">
      <w:pPr>
        <w:pStyle w:val="Ttulo2"/>
        <w:spacing w:before="250" w:after="120"/>
      </w:pPr>
      <w:r>
        <w:t>1.1 — Valor médio de consulta por especialidade (AVG)</w:t>
      </w:r>
    </w:p>
    <w:p w:rsidR="004D14B6" w:rsidRDefault="009528E9">
      <w:pPr>
        <w:spacing w:after="120"/>
      </w:pPr>
      <w:r>
        <w:t>Objetivo: identificar quais especialidades têm o ticket médio mais alto, informação relevante para priorizar a alocação de agenda médica.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700"/>
        <w:gridCol w:w="2700"/>
      </w:tblGrid>
      <w:tr w:rsidR="004D1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14B6" w:rsidRDefault="009528E9">
            <w:r>
              <w:rPr>
                <w:b/>
                <w:bCs/>
                <w:color w:val="FFFFFF"/>
              </w:rPr>
              <w:t>Especialidade</w:t>
            </w:r>
          </w:p>
        </w:tc>
        <w:tc>
          <w:tcPr>
            <w:tcW w:w="27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14B6" w:rsidRDefault="009528E9">
            <w:r>
              <w:rPr>
                <w:b/>
                <w:bCs/>
                <w:color w:val="FFFFFF"/>
              </w:rPr>
              <w:t>Valor médio (R$)</w:t>
            </w:r>
          </w:p>
        </w:tc>
        <w:tc>
          <w:tcPr>
            <w:tcW w:w="27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14B6" w:rsidRDefault="009528E9">
            <w:r>
              <w:rPr>
                <w:b/>
                <w:bCs/>
                <w:color w:val="FFFFFF"/>
              </w:rPr>
              <w:t>Nº de c</w:t>
            </w:r>
            <w:r>
              <w:rPr>
                <w:b/>
                <w:bCs/>
                <w:color w:val="FFFFFF"/>
              </w:rPr>
              <w:t>onsultas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Neurologia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280,00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Cardiologia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250,00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3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Psiquiatria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250,00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Endocrinologia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230,00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Ortopedia / Urologia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220,00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 / 1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Ginecologia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210,00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Dermatologia / Otorrino.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200,00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 / 1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Oftalmologia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190,00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Pediatria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180,00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Clínica Geral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150,00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3</w:t>
            </w:r>
          </w:p>
        </w:tc>
      </w:tr>
    </w:tbl>
    <w:p w:rsidR="004D14B6" w:rsidRDefault="004D14B6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D14B6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2F4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D14B6" w:rsidRDefault="009528E9">
            <w:pPr>
              <w:spacing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Insight: </w:t>
            </w:r>
          </w:p>
          <w:p w:rsidR="004D14B6" w:rsidRDefault="009528E9">
            <w:r>
              <w:rPr>
                <w:i/>
                <w:iCs/>
              </w:rPr>
              <w:t>Neurologia e Cardiologia concentram os maiores valores médios de consulta. Isso sugere que campanhas de retenção de pacientes nessas especialidades têm maior impacto no faturamento por atendimento — e que atrasos/no-shows nessas áreas custam proporcionalme</w:t>
            </w:r>
            <w:r>
              <w:rPr>
                <w:i/>
                <w:iCs/>
              </w:rPr>
              <w:t>nte mais caro à clínica.</w:t>
            </w:r>
          </w:p>
        </w:tc>
      </w:tr>
    </w:tbl>
    <w:p w:rsidR="004D14B6" w:rsidRDefault="009528E9">
      <w:pPr>
        <w:pStyle w:val="Ttulo2"/>
        <w:spacing w:before="250" w:after="120"/>
      </w:pPr>
      <w:r>
        <w:t>1.2 — Faturamento total (SUM) por médico</w:t>
      </w:r>
    </w:p>
    <w:p w:rsidR="004D14B6" w:rsidRDefault="009528E9">
      <w:pPr>
        <w:spacing w:after="120"/>
      </w:pPr>
      <w:r>
        <w:t>Objetivo: medir a receita efetivamente recebida (pagamentos com status 'pago') gerada por cada médico, útil para relatórios de produtividade.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00"/>
        <w:gridCol w:w="3200"/>
      </w:tblGrid>
      <w:tr w:rsidR="004D1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14B6" w:rsidRDefault="009528E9">
            <w:r>
              <w:rPr>
                <w:b/>
                <w:bCs/>
                <w:color w:val="FFFFFF"/>
              </w:rPr>
              <w:t>Médico</w:t>
            </w:r>
          </w:p>
        </w:tc>
        <w:tc>
          <w:tcPr>
            <w:tcW w:w="32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14B6" w:rsidRDefault="009528E9">
            <w:r>
              <w:rPr>
                <w:b/>
                <w:bCs/>
                <w:color w:val="FFFFFF"/>
              </w:rPr>
              <w:t>Faturamento (R$)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Dr. André Luiz Barbosa (Neurologia)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280,00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Dr. Carlos Eduardo Silva (Cardiologia)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250,00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Dra. Camila Rocha Nascimento (Psiquiatria)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250,00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Dr. Thiago Correia Ramos (Cardiologia)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250,00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Dra. Vanessa Lima Araújo (Endocrinologia)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230,00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Dr. Ricardo Alves Santos (Ortopedia)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220,00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Dr. Rafael Nunes Teixeira (Urologia)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220,00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Dra. Juliana Pereira Souza (Ginecologia)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210,00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lastRenderedPageBreak/>
              <w:t>Dra. Patrícia Gomes Ferreira (Dermatologia)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200,00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Dra. Beatriz Almeida Cardoso (Otorrino.)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200,00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Dr. Eduardo Martins Cavalcante (Oftalmologia)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190,00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Dra. Fernanda Costa Lima (Pediatria)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180,00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Dr. Marcelo Rodrigues Oliveira (Clínica Geral)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150,00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5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Dra. Larissa Dias Monteiro (Clínica Geral)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150,00</w:t>
            </w:r>
          </w:p>
        </w:tc>
      </w:tr>
    </w:tbl>
    <w:p w:rsidR="004D14B6" w:rsidRDefault="004D14B6">
      <w:pPr>
        <w:spacing w:after="60"/>
      </w:pPr>
    </w:p>
    <w:p w:rsidR="004D14B6" w:rsidRDefault="009528E9">
      <w:pPr>
        <w:spacing w:after="120"/>
      </w:pPr>
      <w:r>
        <w:rPr>
          <w:b/>
          <w:bCs/>
        </w:rPr>
        <w:t>Faturamento total recebido no período analisado: R$ 2.980,00</w:t>
      </w:r>
    </w:p>
    <w:p w:rsidR="004D14B6" w:rsidRDefault="004D14B6">
      <w:pPr>
        <w:spacing w:after="6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D14B6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2F4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D14B6" w:rsidRDefault="009528E9">
            <w:pPr>
              <w:spacing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Insight: </w:t>
            </w:r>
          </w:p>
          <w:p w:rsidR="004D14B6" w:rsidRDefault="009528E9">
            <w:r>
              <w:rPr>
                <w:i/>
                <w:iCs/>
              </w:rPr>
              <w:t>O faturamento está bem distribuído entre os médicos (nenhum concentra mais de ~10% do total), o que reduz o risco de dependência de um único profissional. Médicos com apenas 1 consu</w:t>
            </w:r>
            <w:r>
              <w:rPr>
                <w:i/>
                <w:iCs/>
              </w:rPr>
              <w:t>lta paga no período (</w:t>
            </w:r>
            <w:proofErr w:type="spellStart"/>
            <w:r>
              <w:rPr>
                <w:i/>
                <w:iCs/>
              </w:rPr>
              <w:t>ex</w:t>
            </w:r>
            <w:proofErr w:type="spellEnd"/>
            <w:r>
              <w:rPr>
                <w:i/>
                <w:iCs/>
              </w:rPr>
              <w:t>: Larissa, Marcelo) podem estar com agenda ociosa — vale cruzar com a taxa de ocupação de horário disponível.</w:t>
            </w:r>
          </w:p>
        </w:tc>
      </w:tr>
    </w:tbl>
    <w:p w:rsidR="004D14B6" w:rsidRDefault="009528E9">
      <w:pPr>
        <w:pStyle w:val="Ttulo2"/>
        <w:spacing w:before="250" w:after="120"/>
      </w:pPr>
      <w:r>
        <w:t>1.3 — Quantidade de pacientes por tipo de plano (COUNT)</w:t>
      </w:r>
    </w:p>
    <w:p w:rsidR="004D14B6" w:rsidRDefault="009528E9">
      <w:pPr>
        <w:spacing w:after="120"/>
      </w:pPr>
      <w:r>
        <w:t>Objetivo: entender a composição da carteira de pacientes por forma de pagamento.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D1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14B6" w:rsidRDefault="009528E9">
            <w:r>
              <w:rPr>
                <w:b/>
                <w:bCs/>
                <w:color w:val="FFFFFF"/>
              </w:rPr>
              <w:t>Tipo de plano</w:t>
            </w:r>
          </w:p>
        </w:tc>
        <w:tc>
          <w:tcPr>
            <w:tcW w:w="45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14B6" w:rsidRDefault="009528E9">
            <w:r>
              <w:rPr>
                <w:b/>
                <w:bCs/>
                <w:color w:val="FFFFFF"/>
              </w:rPr>
              <w:t>Quantidade de pacientes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Particular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6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Convênio X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5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Convênio Y</w:t>
            </w:r>
          </w:p>
        </w:tc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5</w:t>
            </w:r>
          </w:p>
        </w:tc>
      </w:tr>
    </w:tbl>
    <w:p w:rsidR="004D14B6" w:rsidRDefault="004D14B6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D14B6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2F4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D14B6" w:rsidRDefault="009528E9">
            <w:pPr>
              <w:spacing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Insight: </w:t>
            </w:r>
          </w:p>
          <w:p w:rsidR="004D14B6" w:rsidRDefault="009528E9">
            <w:r>
              <w:rPr>
                <w:i/>
                <w:iCs/>
              </w:rPr>
              <w:t>A base de pacientes particulares (6 de 16, ~37,5%) é ligeiramente maior que a de cada convênio isoladamente. Isso indica que a clínica não depende excessivamente de nenhum convênio específico, o que é positivo para negociação de tabelas de repasse.</w:t>
            </w:r>
          </w:p>
        </w:tc>
      </w:tr>
    </w:tbl>
    <w:p w:rsidR="004D14B6" w:rsidRDefault="009528E9">
      <w:pPr>
        <w:pStyle w:val="Ttulo2"/>
        <w:spacing w:before="250" w:after="120"/>
      </w:pPr>
      <w:r>
        <w:t>1.4 — Valor máximo e mínimo de consulta por especialidade (MAX / MIN)</w:t>
      </w:r>
    </w:p>
    <w:p w:rsidR="004D14B6" w:rsidRDefault="009528E9">
      <w:pPr>
        <w:spacing w:after="120"/>
      </w:pPr>
      <w:r>
        <w:t>Objetivo: verificar se existe variação de preço dentro de uma mesma especialidade (o que indicaria descontos, pacotes ou erro de cadastro).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3000"/>
        <w:gridCol w:w="3400"/>
      </w:tblGrid>
      <w:tr w:rsidR="004D1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14B6" w:rsidRDefault="009528E9">
            <w:r>
              <w:rPr>
                <w:b/>
                <w:bCs/>
                <w:color w:val="FFFFFF"/>
              </w:rPr>
              <w:t>Especialidade</w:t>
            </w:r>
          </w:p>
        </w:tc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14B6" w:rsidRDefault="009528E9">
            <w:r>
              <w:rPr>
                <w:b/>
                <w:bCs/>
                <w:color w:val="FFFFFF"/>
              </w:rPr>
              <w:t>Valor máximo (R$)</w:t>
            </w:r>
          </w:p>
        </w:tc>
        <w:tc>
          <w:tcPr>
            <w:tcW w:w="34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14B6" w:rsidRDefault="009528E9">
            <w:r>
              <w:rPr>
                <w:b/>
                <w:bCs/>
                <w:color w:val="FFFFFF"/>
              </w:rPr>
              <w:t>Valor mínimo (R$)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Neurologia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280,00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280,00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Cardiologia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250,00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250,00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Psiquiatria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250,00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250,00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Endocrinologia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230,00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230,00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Ortopedia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220,00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220,00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Urologia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220,00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220,00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Ginecologia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210,00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210,00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Dermatologia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200,00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200,00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lastRenderedPageBreak/>
              <w:t>Otorrinolaringologia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200,00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200,00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Oftalmologia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190,00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190,00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Pediatria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180,00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180,00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Clínica Geral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150,00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150,00</w:t>
            </w:r>
          </w:p>
        </w:tc>
      </w:tr>
    </w:tbl>
    <w:p w:rsidR="004D14B6" w:rsidRDefault="004D14B6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D14B6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2F4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D14B6" w:rsidRDefault="009528E9">
            <w:pPr>
              <w:spacing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Insight: </w:t>
            </w:r>
          </w:p>
          <w:p w:rsidR="004D14B6" w:rsidRDefault="009528E9">
            <w:r>
              <w:rPr>
                <w:i/>
                <w:iCs/>
              </w:rPr>
              <w:t>Máximo e mínimo são iguais em todas as especialidades porque, neste conjunto de dados, o valor da consulta segue rigidamente a tabela base — não há registros de descontos aplicados. Na prática, essa consulta serve como um controle de qualidade: qualquer es</w:t>
            </w:r>
            <w:r>
              <w:rPr>
                <w:i/>
                <w:iCs/>
              </w:rPr>
              <w:t xml:space="preserve">pecialidade que aparecesse aqui com </w:t>
            </w:r>
            <w:proofErr w:type="spellStart"/>
            <w:r>
              <w:rPr>
                <w:i/>
                <w:iCs/>
              </w:rPr>
              <w:t>max</w:t>
            </w:r>
            <w:proofErr w:type="spellEnd"/>
            <w:r>
              <w:rPr>
                <w:i/>
                <w:iCs/>
              </w:rPr>
              <w:t xml:space="preserve"> ≠ min sinalizaria a necessidade de investigar o motivo da variação (erro de digitação, desconto não documentado, etc.).</w:t>
            </w:r>
          </w:p>
        </w:tc>
      </w:tr>
    </w:tbl>
    <w:p w:rsidR="004D14B6" w:rsidRDefault="009528E9">
      <w:pPr>
        <w:pStyle w:val="Ttulo2"/>
        <w:spacing w:before="250" w:after="120"/>
      </w:pPr>
      <w:r>
        <w:t>1.5 — Distribuição de consultas por status (COUNT)</w:t>
      </w:r>
    </w:p>
    <w:p w:rsidR="004D14B6" w:rsidRDefault="009528E9">
      <w:pPr>
        <w:spacing w:after="120"/>
      </w:pPr>
      <w:r>
        <w:t>Objetivo: acompanhar a taxa de no-show e cancelamento, que impacta diretamente a receita.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2700"/>
        <w:gridCol w:w="3000"/>
      </w:tblGrid>
      <w:tr w:rsidR="004D14B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14B6" w:rsidRDefault="009528E9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27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14B6" w:rsidRDefault="009528E9">
            <w:r>
              <w:rPr>
                <w:b/>
                <w:bCs/>
                <w:color w:val="FFFFFF"/>
              </w:rPr>
              <w:t>Quantidade</w:t>
            </w:r>
          </w:p>
        </w:tc>
        <w:tc>
          <w:tcPr>
            <w:tcW w:w="3000" w:type="dxa"/>
            <w:shd w:val="clear" w:color="auto" w:fill="1F4E5F"/>
            <w:tcMar>
              <w:top w:w="80" w:type="dxa"/>
              <w:left w:w="100" w:type="dxa"/>
              <w:bottom w:w="80" w:type="dxa"/>
              <w:right w:w="100" w:type="dxa"/>
            </w:tcMar>
          </w:tcPr>
          <w:p w:rsidR="004D14B6" w:rsidRDefault="009528E9">
            <w:r>
              <w:rPr>
                <w:b/>
                <w:bCs/>
                <w:color w:val="FFFFFF"/>
              </w:rPr>
              <w:t>% do total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Realizada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13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65,0%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Agendada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3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15,0%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Cancelada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3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15,0%</w:t>
            </w:r>
          </w:p>
        </w:tc>
      </w:tr>
      <w:tr w:rsidR="004D14B6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Faltou (no-show)</w:t>
            </w:r>
          </w:p>
        </w:tc>
        <w:tc>
          <w:tcPr>
            <w:tcW w:w="2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1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4D14B6" w:rsidRDefault="009528E9">
            <w:r>
              <w:t>5,0%</w:t>
            </w:r>
          </w:p>
        </w:tc>
      </w:tr>
    </w:tbl>
    <w:p w:rsidR="004D14B6" w:rsidRDefault="004D14B6">
      <w:pPr>
        <w:spacing w:after="12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D14B6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2F4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D14B6" w:rsidRDefault="009528E9">
            <w:pPr>
              <w:spacing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Insight: </w:t>
            </w:r>
          </w:p>
          <w:p w:rsidR="004D14B6" w:rsidRDefault="009528E9">
            <w:r>
              <w:rPr>
                <w:i/>
                <w:iCs/>
              </w:rPr>
              <w:t>A taxa de no-show (5%) está dentro de um patamar saudável, mas somada aos cancelamentos (15%), 1 em cada 5 consultas agendadas não gera receita. Se esse padrão se mantiver em escala, a clínica perde receita equivalente a ~20% da agenda — um forte argumento</w:t>
            </w:r>
            <w:r>
              <w:rPr>
                <w:i/>
                <w:iCs/>
              </w:rPr>
              <w:t xml:space="preserve"> para o modelo de </w:t>
            </w:r>
            <w:proofErr w:type="spellStart"/>
            <w:r>
              <w:rPr>
                <w:i/>
                <w:iCs/>
              </w:rPr>
              <w:t>Machine</w:t>
            </w:r>
            <w:proofErr w:type="spellEnd"/>
            <w:r>
              <w:rPr>
                <w:i/>
                <w:iCs/>
              </w:rPr>
              <w:t xml:space="preserve"> Learning do Módulo 3, que vai tentar prever quais pacientes têm maior risco de não comparecer.</w:t>
            </w:r>
          </w:p>
        </w:tc>
      </w:tr>
    </w:tbl>
    <w:p w:rsidR="004D14B6" w:rsidRDefault="009528E9">
      <w:pPr>
        <w:pStyle w:val="Ttulo1"/>
        <w:spacing w:before="300" w:after="150"/>
      </w:pPr>
      <w:r>
        <w:t>2. Consultas com JOIN</w:t>
      </w:r>
    </w:p>
    <w:p w:rsidR="004D14B6" w:rsidRDefault="009528E9">
      <w:pPr>
        <w:pStyle w:val="Ttulo2"/>
        <w:spacing w:before="250" w:after="120"/>
      </w:pPr>
      <w:r>
        <w:t>2.1 — INNER JOIN: Consultas com paciente, médico e especialidade</w:t>
      </w:r>
    </w:p>
    <w:p w:rsidR="004D14B6" w:rsidRDefault="009528E9">
      <w:pPr>
        <w:spacing w:after="120"/>
      </w:pPr>
      <w:r>
        <w:t xml:space="preserve">Objetivo: gerar a 'visão 360°' de cada consulta — a query mais usada no dia a dia da recepção e da gestão, pois junta 4 tabelas (consultas, pacientes, </w:t>
      </w:r>
      <w:proofErr w:type="spellStart"/>
      <w:r>
        <w:t>medicos</w:t>
      </w:r>
      <w:proofErr w:type="spellEnd"/>
      <w:r>
        <w:t>, especialidades) em uma única linha por consulta.</w:t>
      </w:r>
    </w:p>
    <w:p w:rsidR="004D14B6" w:rsidRDefault="009528E9">
      <w:pPr>
        <w:spacing w:after="120"/>
      </w:pPr>
      <w:r>
        <w:t>Por que INNER JOIN: só queremos consultas que t</w:t>
      </w:r>
      <w:r>
        <w:t xml:space="preserve">enham paciente, médico e especialidade válidos e existentes — o que é sempre o caso aqui graças às </w:t>
      </w:r>
      <w:proofErr w:type="spellStart"/>
      <w:r>
        <w:t>FKs</w:t>
      </w:r>
      <w:proofErr w:type="spellEnd"/>
      <w:r>
        <w:t xml:space="preserve"> NOT NULL definidas no DDL. Um INNER JOIN garante que nenhuma linha 'quebrada' apareça no relatório.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D14B6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2F4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D14B6" w:rsidRDefault="009528E9">
            <w:pPr>
              <w:spacing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Insight: </w:t>
            </w:r>
          </w:p>
          <w:p w:rsidR="004D14B6" w:rsidRDefault="009528E9">
            <w:r>
              <w:rPr>
                <w:i/>
                <w:iCs/>
              </w:rPr>
              <w:t>As 20 consultas retornaram normalmente s</w:t>
            </w:r>
            <w:r>
              <w:rPr>
                <w:i/>
                <w:iCs/>
              </w:rPr>
              <w:t>em nenhuma perda de linha, confirmando que a integridade referencial do banco está correta — não existe nenhuma consulta órfã (sem paciente, médico ou especialidade válidos).</w:t>
            </w:r>
          </w:p>
        </w:tc>
      </w:tr>
    </w:tbl>
    <w:p w:rsidR="004D14B6" w:rsidRDefault="009528E9">
      <w:pPr>
        <w:pStyle w:val="Ttulo2"/>
        <w:spacing w:before="250" w:after="120"/>
      </w:pPr>
      <w:r>
        <w:t>2.2 — LEFT JOIN: Consultas e seus prontuários (quando existirem)</w:t>
      </w:r>
    </w:p>
    <w:p w:rsidR="004D14B6" w:rsidRDefault="009528E9">
      <w:pPr>
        <w:spacing w:after="120"/>
      </w:pPr>
      <w:r>
        <w:t>Objetivo: lista</w:t>
      </w:r>
      <w:r>
        <w:t>r todas as consultas e, quando disponível, o diagnóstico do prontuário associado.</w:t>
      </w:r>
    </w:p>
    <w:p w:rsidR="004D14B6" w:rsidRDefault="009528E9">
      <w:pPr>
        <w:spacing w:after="120"/>
      </w:pPr>
      <w:r>
        <w:lastRenderedPageBreak/>
        <w:t>Por que LEFT JOIN: nem toda consulta tem prontuário — só as que foram efetivamente 'realizada' geram um registro clínico. Um INNER JOIN aqui esconderia as consultas agendadas</w:t>
      </w:r>
      <w:r>
        <w:t>/canceladas/faltosas do relatório; o LEFT JOIN preserva a tabela da esquerda (consultas) inteira e traz NULL em diagnostico quando não há prontuário.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D14B6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2F4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D14B6" w:rsidRDefault="009528E9">
            <w:pPr>
              <w:spacing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Insight: </w:t>
            </w:r>
          </w:p>
          <w:p w:rsidR="004D14B6" w:rsidRDefault="009528E9">
            <w:r>
              <w:rPr>
                <w:i/>
                <w:iCs/>
              </w:rPr>
              <w:t>Das 20 consultas, 7 retornam com diagnóstico em branco (as 3 agendadas, as 3 canceladas e o 1</w:t>
            </w:r>
            <w:r>
              <w:rPr>
                <w:i/>
                <w:iCs/>
              </w:rPr>
              <w:t xml:space="preserve"> no-show) — exatamente o número esperado, o que confirma que a regra de negócio 'só existe prontuário para consulta realizada' está sendo respeitada consistentemente no banco.</w:t>
            </w:r>
          </w:p>
        </w:tc>
      </w:tr>
    </w:tbl>
    <w:p w:rsidR="004D14B6" w:rsidRDefault="009528E9">
      <w:pPr>
        <w:pStyle w:val="Ttulo2"/>
        <w:spacing w:before="250" w:after="120"/>
      </w:pPr>
      <w:r>
        <w:t>2.3 — RIGHT JOIN: Pacientes e suas consultas</w:t>
      </w:r>
    </w:p>
    <w:p w:rsidR="004D14B6" w:rsidRDefault="009528E9">
      <w:pPr>
        <w:spacing w:after="120"/>
      </w:pPr>
      <w:r>
        <w:t>Objetivo: mesma informação da consulta 2.2, mas escrita a partir da direção oposta — usando consultas RIGHT JOIN pacientes, o que coloca pacientes como tabela 'preservada' (equivalente a fazer pacientes LEFT JOIN consultas).</w:t>
      </w:r>
    </w:p>
    <w:p w:rsidR="004D14B6" w:rsidRDefault="009528E9">
      <w:pPr>
        <w:spacing w:after="120"/>
      </w:pPr>
      <w:r>
        <w:t>Por que RIGHT JOIN: incluída pr</w:t>
      </w:r>
      <w:r>
        <w:t>opositalmente para demonstrar a equivalência entre LEFT e RIGHT JOIN (invertendo a ordem das tabelas) — uma pegadinha comum de prova/entrevista técnica.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D14B6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2F4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D14B6" w:rsidRDefault="009528E9">
            <w:pPr>
              <w:spacing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Insight: </w:t>
            </w:r>
          </w:p>
          <w:p w:rsidR="004D14B6" w:rsidRDefault="009528E9">
            <w:r>
              <w:rPr>
                <w:i/>
                <w:iCs/>
              </w:rPr>
              <w:t>Como todos os 16 pacientes cadastrados já têm pelo menos 1 consulta no histórico, o result</w:t>
            </w:r>
            <w:r>
              <w:rPr>
                <w:i/>
                <w:iCs/>
              </w:rPr>
              <w:t>ado do RIGHT JOIN é idêntico ao que um INNER JOIN traria — ou seja, não há pacientes cadastrados que nunca agendaram uma consulta. Isso é um indicador de saúde da base de dados: não há cadastros 'mortos'.</w:t>
            </w:r>
          </w:p>
        </w:tc>
      </w:tr>
    </w:tbl>
    <w:p w:rsidR="004D14B6" w:rsidRDefault="009528E9">
      <w:pPr>
        <w:pStyle w:val="Ttulo2"/>
        <w:spacing w:before="250" w:after="120"/>
      </w:pPr>
      <w:r>
        <w:t>2.4 — INNER JOIN + agregação: Medicamentos prescri</w:t>
      </w:r>
      <w:r>
        <w:t>tos por prontuário</w:t>
      </w:r>
    </w:p>
    <w:p w:rsidR="004D14B6" w:rsidRDefault="009528E9">
      <w:pPr>
        <w:spacing w:after="120"/>
      </w:pPr>
      <w:r>
        <w:t xml:space="preserve">Objetivo: contar quantos medicamentos foram prescritos em cada atendimento, cruzando </w:t>
      </w:r>
      <w:proofErr w:type="spellStart"/>
      <w:r>
        <w:t>prontuarios</w:t>
      </w:r>
      <w:proofErr w:type="spellEnd"/>
      <w:r>
        <w:t xml:space="preserve"> com </w:t>
      </w:r>
      <w:proofErr w:type="spellStart"/>
      <w:r>
        <w:t>prescricoes</w:t>
      </w:r>
      <w:proofErr w:type="spellEnd"/>
      <w:r>
        <w:t>.</w:t>
      </w:r>
    </w:p>
    <w:p w:rsidR="004D14B6" w:rsidRDefault="009528E9">
      <w:pPr>
        <w:spacing w:after="120"/>
      </w:pPr>
      <w:r>
        <w:t>Por que INNER JOIN aqui: só faz sentido contar prontuários que efetivamente têm prescrição — e neste conjunto de dados, tod</w:t>
      </w:r>
      <w:r>
        <w:t>os os 13 prontuários têm ao menos 1 prescrição associada.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0"/>
      </w:tblGrid>
      <w:tr w:rsidR="004D14B6">
        <w:tblPrEx>
          <w:tblCellMar>
            <w:top w:w="0" w:type="dxa"/>
            <w:bottom w:w="0" w:type="dxa"/>
          </w:tblCellMar>
        </w:tblPrEx>
        <w:tc>
          <w:tcPr>
            <w:tcW w:w="9000" w:type="dxa"/>
            <w:shd w:val="clear" w:color="auto" w:fill="EAF2F4"/>
            <w:tcMar>
              <w:top w:w="150" w:type="dxa"/>
              <w:left w:w="150" w:type="dxa"/>
              <w:bottom w:w="150" w:type="dxa"/>
              <w:right w:w="150" w:type="dxa"/>
            </w:tcMar>
          </w:tcPr>
          <w:p w:rsidR="004D14B6" w:rsidRDefault="009528E9">
            <w:pPr>
              <w:spacing w:after="60"/>
            </w:pPr>
            <w:r>
              <w:rPr>
                <w:b/>
                <w:bCs/>
              </w:rPr>
              <w:t>💡</w:t>
            </w:r>
            <w:r>
              <w:rPr>
                <w:b/>
                <w:bCs/>
              </w:rPr>
              <w:t xml:space="preserve"> Insight: </w:t>
            </w:r>
          </w:p>
          <w:p w:rsidR="004D14B6" w:rsidRDefault="009528E9">
            <w:r>
              <w:rPr>
                <w:i/>
                <w:iCs/>
              </w:rPr>
              <w:t>O total de 18 prescrições para 13 prontuários resulta em uma média de ~1,4 medicamentos por atendimento. Casos como o de Psiquiatria e Cardiologia concentram até 2 medicamentos por pron</w:t>
            </w:r>
            <w:r>
              <w:rPr>
                <w:i/>
                <w:iCs/>
              </w:rPr>
              <w:t>tuário, coerente com tratamentos que costumam combinar mais de um princípio ativo (</w:t>
            </w:r>
            <w:proofErr w:type="spellStart"/>
            <w:r>
              <w:rPr>
                <w:i/>
                <w:iCs/>
              </w:rPr>
              <w:t>ex</w:t>
            </w:r>
            <w:proofErr w:type="spellEnd"/>
            <w:r>
              <w:rPr>
                <w:i/>
                <w:iCs/>
              </w:rPr>
              <w:t xml:space="preserve">: ansiolítico + antidepressivo, anti-hipertensivo + </w:t>
            </w:r>
            <w:proofErr w:type="spellStart"/>
            <w:r>
              <w:rPr>
                <w:i/>
                <w:iCs/>
              </w:rPr>
              <w:t>antiagregante</w:t>
            </w:r>
            <w:proofErr w:type="spellEnd"/>
            <w:r>
              <w:rPr>
                <w:i/>
                <w:iCs/>
              </w:rPr>
              <w:t>).</w:t>
            </w:r>
          </w:p>
        </w:tc>
      </w:tr>
    </w:tbl>
    <w:p w:rsidR="004D14B6" w:rsidRDefault="009528E9">
      <w:pPr>
        <w:pStyle w:val="Ttulo1"/>
        <w:spacing w:before="300" w:after="150"/>
      </w:pPr>
      <w:r>
        <w:t>3. Recomendações Gerais</w:t>
      </w:r>
    </w:p>
    <w:p w:rsidR="004D14B6" w:rsidRDefault="009528E9">
      <w:pPr>
        <w:spacing w:after="120"/>
      </w:pPr>
      <w:r>
        <w:t>Com base no conjunto das análises acima, as recomendações práticas para a dire</w:t>
      </w:r>
      <w:r>
        <w:t xml:space="preserve">toria da </w:t>
      </w:r>
      <w:proofErr w:type="spellStart"/>
      <w:r>
        <w:t>ClínicaCare</w:t>
      </w:r>
      <w:proofErr w:type="spellEnd"/>
      <w:r>
        <w:t xml:space="preserve"> são:</w:t>
      </w:r>
    </w:p>
    <w:p w:rsidR="004D14B6" w:rsidRDefault="009528E9">
      <w:pPr>
        <w:pStyle w:val="PargrafodaLista"/>
        <w:numPr>
          <w:ilvl w:val="0"/>
          <w:numId w:val="1"/>
        </w:numPr>
        <w:spacing w:after="100"/>
      </w:pPr>
      <w:r>
        <w:t>Investir em lembretes automáticos (SMS/WhatsApp) para consultas de Neurologia e Cardiologia, onde o custo de um no-show é mais alto em termos de receita perdida.</w:t>
      </w:r>
    </w:p>
    <w:p w:rsidR="004D14B6" w:rsidRDefault="009528E9">
      <w:pPr>
        <w:pStyle w:val="PargrafodaLista"/>
        <w:numPr>
          <w:ilvl w:val="0"/>
          <w:numId w:val="1"/>
        </w:numPr>
        <w:spacing w:after="100"/>
      </w:pPr>
      <w:r>
        <w:t>Investigar a ociosidade de agenda dos médicos com menor volume de co</w:t>
      </w:r>
      <w:r>
        <w:t>nsultas pagas no período (</w:t>
      </w:r>
      <w:proofErr w:type="spellStart"/>
      <w:r>
        <w:t>ex</w:t>
      </w:r>
      <w:proofErr w:type="spellEnd"/>
      <w:r>
        <w:t>: Clínica Geral), verificando se é sazonalidade ou subutilização de horário disponível.</w:t>
      </w:r>
    </w:p>
    <w:p w:rsidR="004D14B6" w:rsidRDefault="009528E9">
      <w:pPr>
        <w:pStyle w:val="PargrafodaLista"/>
        <w:numPr>
          <w:ilvl w:val="0"/>
          <w:numId w:val="1"/>
        </w:numPr>
        <w:spacing w:after="100"/>
      </w:pPr>
      <w:r>
        <w:t>Monitorar a taxa combinada de cancelamento + no-show (20% neste recorte) como um KPI mensal — ela alimenta diretamente o modelo preditivo do Módulo 3.</w:t>
      </w:r>
    </w:p>
    <w:p w:rsidR="004D14B6" w:rsidRDefault="009528E9">
      <w:pPr>
        <w:pStyle w:val="PargrafodaLista"/>
        <w:numPr>
          <w:ilvl w:val="0"/>
          <w:numId w:val="1"/>
        </w:numPr>
        <w:spacing w:after="100"/>
      </w:pPr>
      <w:r>
        <w:t>Manter a política de preço fixo por especialidade (sem variação de valor observada), já que isso facilita</w:t>
      </w:r>
      <w:r>
        <w:t xml:space="preserve"> a conciliação financeira e a auditoria de pagamentos.</w:t>
      </w:r>
    </w:p>
    <w:sectPr w:rsidR="004D14B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52797E"/>
    <w:multiLevelType w:val="hybridMultilevel"/>
    <w:tmpl w:val="58C877C4"/>
    <w:lvl w:ilvl="0" w:tplc="2BD4BD4A">
      <w:start w:val="1"/>
      <w:numFmt w:val="bullet"/>
      <w:lvlText w:val="●"/>
      <w:lvlJc w:val="left"/>
      <w:pPr>
        <w:ind w:left="720" w:hanging="360"/>
      </w:pPr>
    </w:lvl>
    <w:lvl w:ilvl="1" w:tplc="4F166912">
      <w:start w:val="1"/>
      <w:numFmt w:val="bullet"/>
      <w:lvlText w:val="○"/>
      <w:lvlJc w:val="left"/>
      <w:pPr>
        <w:ind w:left="1440" w:hanging="360"/>
      </w:pPr>
    </w:lvl>
    <w:lvl w:ilvl="2" w:tplc="3B0EFB1E">
      <w:start w:val="1"/>
      <w:numFmt w:val="bullet"/>
      <w:lvlText w:val="■"/>
      <w:lvlJc w:val="left"/>
      <w:pPr>
        <w:ind w:left="2160" w:hanging="360"/>
      </w:pPr>
    </w:lvl>
    <w:lvl w:ilvl="3" w:tplc="763EC13E">
      <w:start w:val="1"/>
      <w:numFmt w:val="bullet"/>
      <w:lvlText w:val="●"/>
      <w:lvlJc w:val="left"/>
      <w:pPr>
        <w:ind w:left="2880" w:hanging="360"/>
      </w:pPr>
    </w:lvl>
    <w:lvl w:ilvl="4" w:tplc="F30EDF3A">
      <w:start w:val="1"/>
      <w:numFmt w:val="bullet"/>
      <w:lvlText w:val="○"/>
      <w:lvlJc w:val="left"/>
      <w:pPr>
        <w:ind w:left="3600" w:hanging="360"/>
      </w:pPr>
    </w:lvl>
    <w:lvl w:ilvl="5" w:tplc="50A8D14A">
      <w:start w:val="1"/>
      <w:numFmt w:val="bullet"/>
      <w:lvlText w:val="■"/>
      <w:lvlJc w:val="left"/>
      <w:pPr>
        <w:ind w:left="4320" w:hanging="360"/>
      </w:pPr>
    </w:lvl>
    <w:lvl w:ilvl="6" w:tplc="B7ACDE5E">
      <w:start w:val="1"/>
      <w:numFmt w:val="bullet"/>
      <w:lvlText w:val="●"/>
      <w:lvlJc w:val="left"/>
      <w:pPr>
        <w:ind w:left="5040" w:hanging="360"/>
      </w:pPr>
    </w:lvl>
    <w:lvl w:ilvl="7" w:tplc="5AD06576">
      <w:start w:val="1"/>
      <w:numFmt w:val="bullet"/>
      <w:lvlText w:val="●"/>
      <w:lvlJc w:val="left"/>
      <w:pPr>
        <w:ind w:left="5760" w:hanging="360"/>
      </w:pPr>
    </w:lvl>
    <w:lvl w:ilvl="8" w:tplc="C9E63AB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4B6"/>
    <w:rsid w:val="004D14B6"/>
    <w:rsid w:val="00952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90535F"/>
  <w15:docId w15:val="{53F27D96-8148-4460-8A8B-0614F83CE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1294</Words>
  <Characters>6989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2</cp:revision>
  <dcterms:created xsi:type="dcterms:W3CDTF">2026-08-29T15:33:00Z</dcterms:created>
  <dcterms:modified xsi:type="dcterms:W3CDTF">2026-08-29T15:33:00Z</dcterms:modified>
</cp:coreProperties>
</file>