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5F"/>
          <w:sz w:val="48"/>
          <w:szCs w:val="48"/>
        </w:rPr>
        <w:t xml:space="preserve">ClínicaCare</w:t>
      </w:r>
    </w:p>
    <w:p>
      <w:pPr>
        <w:spacing w:after="300"/>
      </w:pPr>
      <w:r>
        <w:rPr>
          <w:color w:val="444444"/>
          <w:sz w:val="28"/>
          <w:szCs w:val="28"/>
        </w:rPr>
        <w:t xml:space="preserve">Painel de Gestão — Insights do Dashboard Power BI</w:t>
      </w:r>
    </w:p>
    <w:p>
      <w:pPr>
        <w:spacing w:after="120"/>
      </w:pPr>
      <w:r>
        <w:t xml:space="preserve">Este documento descreve os 5 painéis do Dashboard_ClinicaCare.pbix, os principais achados e as recomendações práticas para a diretoria, com base no dataset dados_limpos.csv (202 registros: 14 consultas reais extraídas do banco clinica_care + 188 registros de histórico simulado, representando os anos de atendimento em papel anteriores à digitalização).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3CD" w:val="clear"/>
            <w:tcMar>
              <w:top w:type="dxa" w:w="150"/>
              <w:left w:type="dxa" w:w="150"/>
              <w:bottom w:type="dxa" w:w="150"/>
              <w:right w:type="dxa" w:w="150"/>
            </w:tcMar>
          </w:tcPr>
          <w:p>
            <w:pPr>
              <w:spacing w:after="60"/>
            </w:pPr>
            <w:r>
              <w:rPr>
                <w:b/>
                <w:bCs/>
              </w:rPr>
              <w:t xml:space="preserve">⚠️ Limitação metodológica: </w:t>
            </w:r>
          </w:p>
          <w:p>
            <w:r>
              <w:rPr>
                <w:i/>
                <w:iCs/>
              </w:rPr>
              <w:t xml:space="preserve">Cerca de 93% da base (188 de 202 registros) é histórico simulado, criado para viabilizar treino e avaliação estatística do modelo de previsão de no-show do Módulo 3. Os números deste relatório devem ser lidos como uma demonstração metodológica, não como o faturamento real da clínica. O filtro 'fonte' no dashboard permite isolar apenas os 14 registros reais a qualquer momento.</w:t>
            </w:r>
          </w:p>
        </w:tc>
      </w:tr>
    </w:tbl>
    <w:p>
      <w:pPr>
        <w:pStyle w:val="Heading1"/>
        <w:spacing w:after="150" w:before="300"/>
      </w:pPr>
      <w:r>
        <w:t xml:space="preserve">1. Indicadores Gerais (Cartões de KPI)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rPr>
          <w:tblHeader/>
        </w:trPr>
        <w:tc>
          <w:tcPr>
            <w:tcW w:type="dxa" w:w="6000"/>
            <w:shd w:fill="1F4E5F" w:val="clear"/>
            <w:tcMar>
              <w:top w:type="dxa" w:w="80"/>
              <w:left w:type="dxa" w:w="100"/>
              <w:bottom w:type="dxa" w:w="80"/>
              <w:right w:type="dxa" w:w="100"/>
            </w:tcMar>
          </w:tcPr>
          <w:p>
            <w:r>
              <w:rPr>
                <w:b/>
                <w:bCs/>
                <w:color w:val="FFFFFF"/>
              </w:rPr>
              <w:t xml:space="preserve">Indicador</w:t>
            </w:r>
          </w:p>
        </w:tc>
        <w:tc>
          <w:tcPr>
            <w:tcW w:type="dxa" w:w="3000"/>
            <w:shd w:fill="1F4E5F" w:val="clear"/>
            <w:tcMar>
              <w:top w:type="dxa" w:w="80"/>
              <w:left w:type="dxa" w:w="100"/>
              <w:bottom w:type="dxa" w:w="80"/>
              <w:right w:type="dxa" w:w="100"/>
            </w:tcMar>
          </w:tcPr>
          <w:p>
            <w:r>
              <w:rPr>
                <w:b/>
                <w:bCs/>
                <w:color w:val="FFFFFF"/>
              </w:rPr>
              <w:t xml:space="preserve">Valor</w:t>
            </w:r>
          </w:p>
        </w:tc>
      </w:tr>
      <w:tr>
        <w:tc>
          <w:tcPr>
            <w:tcW w:type="dxa" w:w="6000"/>
            <w:tcMar>
              <w:top w:type="dxa" w:w="60"/>
              <w:left w:type="dxa" w:w="100"/>
              <w:bottom w:type="dxa" w:w="60"/>
              <w:right w:type="dxa" w:w="100"/>
            </w:tcMar>
          </w:tcPr>
          <w:p>
            <w:r>
              <w:t xml:space="preserve">Total de Pacientes (únicos)</w:t>
            </w:r>
          </w:p>
        </w:tc>
        <w:tc>
          <w:tcPr>
            <w:tcW w:type="dxa" w:w="3000"/>
            <w:tcMar>
              <w:top w:type="dxa" w:w="60"/>
              <w:left w:type="dxa" w:w="100"/>
              <w:bottom w:type="dxa" w:w="60"/>
              <w:right w:type="dxa" w:w="100"/>
            </w:tcMar>
          </w:tcPr>
          <w:p>
            <w:r>
              <w:t xml:space="preserve">91</w:t>
            </w:r>
          </w:p>
        </w:tc>
      </w:tr>
      <w:tr>
        <w:tc>
          <w:tcPr>
            <w:tcW w:type="dxa" w:w="6000"/>
            <w:tcMar>
              <w:top w:type="dxa" w:w="60"/>
              <w:left w:type="dxa" w:w="100"/>
              <w:bottom w:type="dxa" w:w="60"/>
              <w:right w:type="dxa" w:w="100"/>
            </w:tcMar>
          </w:tcPr>
          <w:p>
            <w:r>
              <w:t xml:space="preserve">Total de Consultas</w:t>
            </w:r>
          </w:p>
        </w:tc>
        <w:tc>
          <w:tcPr>
            <w:tcW w:type="dxa" w:w="3000"/>
            <w:tcMar>
              <w:top w:type="dxa" w:w="60"/>
              <w:left w:type="dxa" w:w="100"/>
              <w:bottom w:type="dxa" w:w="60"/>
              <w:right w:type="dxa" w:w="100"/>
            </w:tcMar>
          </w:tcPr>
          <w:p>
            <w:r>
              <w:t xml:space="preserve">202</w:t>
            </w:r>
          </w:p>
        </w:tc>
      </w:tr>
      <w:tr>
        <w:tc>
          <w:tcPr>
            <w:tcW w:type="dxa" w:w="6000"/>
            <w:tcMar>
              <w:top w:type="dxa" w:w="60"/>
              <w:left w:type="dxa" w:w="100"/>
              <w:bottom w:type="dxa" w:w="60"/>
              <w:right w:type="dxa" w:w="100"/>
            </w:tcMar>
          </w:tcPr>
          <w:p>
            <w:r>
              <w:t xml:space="preserve">Taxa de No-Show geral</w:t>
            </w:r>
          </w:p>
        </w:tc>
        <w:tc>
          <w:tcPr>
            <w:tcW w:type="dxa" w:w="3000"/>
            <w:tcMar>
              <w:top w:type="dxa" w:w="60"/>
              <w:left w:type="dxa" w:w="100"/>
              <w:bottom w:type="dxa" w:w="60"/>
              <w:right w:type="dxa" w:w="100"/>
            </w:tcMar>
          </w:tcPr>
          <w:p>
            <w:r>
              <w:t xml:space="preserve">33,7%</w:t>
            </w:r>
          </w:p>
        </w:tc>
      </w:tr>
      <w:tr>
        <w:tc>
          <w:tcPr>
            <w:tcW w:type="dxa" w:w="6000"/>
            <w:tcMar>
              <w:top w:type="dxa" w:w="60"/>
              <w:left w:type="dxa" w:w="100"/>
              <w:bottom w:type="dxa" w:w="60"/>
              <w:right w:type="dxa" w:w="100"/>
            </w:tcMar>
          </w:tcPr>
          <w:p>
            <w:r>
              <w:t xml:space="preserve">Faturamento Total (consultas realizadas)</w:t>
            </w:r>
          </w:p>
        </w:tc>
        <w:tc>
          <w:tcPr>
            <w:tcW w:type="dxa" w:w="3000"/>
            <w:tcMar>
              <w:top w:type="dxa" w:w="60"/>
              <w:left w:type="dxa" w:w="100"/>
              <w:bottom w:type="dxa" w:w="60"/>
              <w:right w:type="dxa" w:w="100"/>
            </w:tcMar>
          </w:tcPr>
          <w:p>
            <w:r>
              <w:t xml:space="preserve">R$ 29.030,00</w:t>
            </w:r>
          </w:p>
        </w:tc>
      </w:tr>
      <w:tr>
        <w:tc>
          <w:tcPr>
            <w:tcW w:type="dxa" w:w="6000"/>
            <w:tcMar>
              <w:top w:type="dxa" w:w="60"/>
              <w:left w:type="dxa" w:w="100"/>
              <w:bottom w:type="dxa" w:w="60"/>
              <w:right w:type="dxa" w:w="100"/>
            </w:tcMar>
          </w:tcPr>
          <w:p>
            <w:r>
              <w:t xml:space="preserve">Média de antecedência de agendamento</w:t>
            </w:r>
          </w:p>
        </w:tc>
        <w:tc>
          <w:tcPr>
            <w:tcW w:type="dxa" w:w="3000"/>
            <w:tcMar>
              <w:top w:type="dxa" w:w="60"/>
              <w:left w:type="dxa" w:w="100"/>
              <w:bottom w:type="dxa" w:w="60"/>
              <w:right w:type="dxa" w:w="100"/>
            </w:tcMar>
          </w:tcPr>
          <w:p>
            <w:r>
              <w:t xml:space="preserve">10,6 dias (desvio padrão: 6,7 dias)</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2F4" w:val="clear"/>
            <w:tcMar>
              <w:top w:type="dxa" w:w="150"/>
              <w:left w:type="dxa" w:w="150"/>
              <w:bottom w:type="dxa" w:w="150"/>
              <w:right w:type="dxa" w:w="150"/>
            </w:tcMar>
          </w:tcPr>
          <w:p>
            <w:pPr>
              <w:spacing w:after="60"/>
            </w:pPr>
            <w:r>
              <w:rPr>
                <w:b/>
                <w:bCs/>
              </w:rPr>
              <w:t xml:space="preserve">💡 Insight: </w:t>
            </w:r>
          </w:p>
          <w:p>
            <w:r>
              <w:rPr>
                <w:i/>
                <w:iCs/>
              </w:rPr>
              <w:t xml:space="preserve">A taxa de no-show geral (33,7%) está acima da média típica do setor de saúde (10-25%), o que é esperado no dataset simulado — ainda assim, o padrão de que quanto maior o número de faltas anteriores do paciente, maior a chance de faltar de novo (30% → 44% → 50% conforme o histórico de faltas sobe de 0 para 2) é o achado mais acionável do projeto: um sistema de alerta baseado em histórico do próprio paciente tende a ser mais eficaz do que regras genéricas por especialidade.</w:t>
            </w:r>
          </w:p>
        </w:tc>
      </w:tr>
    </w:tbl>
    <w:p>
      <w:pPr>
        <w:pStyle w:val="Heading1"/>
        <w:spacing w:after="150" w:before="300"/>
      </w:pPr>
      <w:r>
        <w:t xml:space="preserve">2. Consultas por Especialidade (Gráfico de Barras)</w:t>
      </w:r>
    </w:p>
    <w:p>
      <w:pPr>
        <w:spacing w:after="120"/>
      </w:pPr>
      <w:r>
        <w:t xml:space="preserve">Mostra o volume de consultas registradas por especialidade, da maior para a menor.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rPr>
          <w:tblHeader/>
        </w:trPr>
        <w:tc>
          <w:tcPr>
            <w:tcW w:type="dxa" w:w="4000"/>
            <w:shd w:fill="1F4E5F" w:val="clear"/>
            <w:tcMar>
              <w:top w:type="dxa" w:w="80"/>
              <w:left w:type="dxa" w:w="100"/>
              <w:bottom w:type="dxa" w:w="80"/>
              <w:right w:type="dxa" w:w="100"/>
            </w:tcMar>
          </w:tcPr>
          <w:p>
            <w:r>
              <w:rPr>
                <w:b/>
                <w:bCs/>
                <w:color w:val="FFFFFF"/>
              </w:rPr>
              <w:t xml:space="preserve">Especialidade</w:t>
            </w:r>
          </w:p>
        </w:tc>
        <w:tc>
          <w:tcPr>
            <w:tcW w:type="dxa" w:w="2500"/>
            <w:shd w:fill="1F4E5F" w:val="clear"/>
            <w:tcMar>
              <w:top w:type="dxa" w:w="80"/>
              <w:left w:type="dxa" w:w="100"/>
              <w:bottom w:type="dxa" w:w="80"/>
              <w:right w:type="dxa" w:w="100"/>
            </w:tcMar>
          </w:tcPr>
          <w:p>
            <w:r>
              <w:rPr>
                <w:b/>
                <w:bCs/>
                <w:color w:val="FFFFFF"/>
              </w:rPr>
              <w:t xml:space="preserve">Consultas</w:t>
            </w:r>
          </w:p>
        </w:tc>
        <w:tc>
          <w:tcPr>
            <w:tcW w:type="dxa" w:w="2500"/>
            <w:shd w:fill="1F4E5F" w:val="clear"/>
            <w:tcMar>
              <w:top w:type="dxa" w:w="80"/>
              <w:left w:type="dxa" w:w="100"/>
              <w:bottom w:type="dxa" w:w="80"/>
              <w:right w:type="dxa" w:w="100"/>
            </w:tcMar>
          </w:tcPr>
          <w:p>
            <w:r>
              <w:rPr>
                <w:b/>
                <w:bCs/>
                <w:color w:val="FFFFFF"/>
              </w:rPr>
              <w:t xml:space="preserve">Taxa de No-Show</w:t>
            </w:r>
          </w:p>
        </w:tc>
      </w:tr>
      <w:tr>
        <w:tc>
          <w:tcPr>
            <w:tcW w:type="dxa" w:w="4000"/>
            <w:tcMar>
              <w:top w:type="dxa" w:w="60"/>
              <w:left w:type="dxa" w:w="100"/>
              <w:bottom w:type="dxa" w:w="60"/>
              <w:right w:type="dxa" w:w="100"/>
            </w:tcMar>
          </w:tcPr>
          <w:p>
            <w:r>
              <w:t xml:space="preserve">Clínica Geral</w:t>
            </w:r>
          </w:p>
        </w:tc>
        <w:tc>
          <w:tcPr>
            <w:tcW w:type="dxa" w:w="2500"/>
            <w:tcMar>
              <w:top w:type="dxa" w:w="60"/>
              <w:left w:type="dxa" w:w="100"/>
              <w:bottom w:type="dxa" w:w="60"/>
              <w:right w:type="dxa" w:w="100"/>
            </w:tcMar>
          </w:tcPr>
          <w:p>
            <w:r>
              <w:t xml:space="preserve">24</w:t>
            </w:r>
          </w:p>
        </w:tc>
        <w:tc>
          <w:tcPr>
            <w:tcW w:type="dxa" w:w="2500"/>
            <w:tcMar>
              <w:top w:type="dxa" w:w="60"/>
              <w:left w:type="dxa" w:w="100"/>
              <w:bottom w:type="dxa" w:w="60"/>
              <w:right w:type="dxa" w:w="100"/>
            </w:tcMar>
          </w:tcPr>
          <w:p>
            <w:r>
              <w:t xml:space="preserve">33,3%</w:t>
            </w:r>
          </w:p>
        </w:tc>
      </w:tr>
      <w:tr>
        <w:tc>
          <w:tcPr>
            <w:tcW w:type="dxa" w:w="4000"/>
            <w:tcMar>
              <w:top w:type="dxa" w:w="60"/>
              <w:left w:type="dxa" w:w="100"/>
              <w:bottom w:type="dxa" w:w="60"/>
              <w:right w:type="dxa" w:w="100"/>
            </w:tcMar>
          </w:tcPr>
          <w:p>
            <w:r>
              <w:t xml:space="preserve">Psiquiatria</w:t>
            </w:r>
          </w:p>
        </w:tc>
        <w:tc>
          <w:tcPr>
            <w:tcW w:type="dxa" w:w="2500"/>
            <w:tcMar>
              <w:top w:type="dxa" w:w="60"/>
              <w:left w:type="dxa" w:w="100"/>
              <w:bottom w:type="dxa" w:w="60"/>
              <w:right w:type="dxa" w:w="100"/>
            </w:tcMar>
          </w:tcPr>
          <w:p>
            <w:r>
              <w:t xml:space="preserve">22</w:t>
            </w:r>
          </w:p>
        </w:tc>
        <w:tc>
          <w:tcPr>
            <w:tcW w:type="dxa" w:w="2500"/>
            <w:tcMar>
              <w:top w:type="dxa" w:w="60"/>
              <w:left w:type="dxa" w:w="100"/>
              <w:bottom w:type="dxa" w:w="60"/>
              <w:right w:type="dxa" w:w="100"/>
            </w:tcMar>
          </w:tcPr>
          <w:p>
            <w:r>
              <w:t xml:space="preserve">45,5%</w:t>
            </w:r>
          </w:p>
        </w:tc>
      </w:tr>
      <w:tr>
        <w:tc>
          <w:tcPr>
            <w:tcW w:type="dxa" w:w="4000"/>
            <w:tcMar>
              <w:top w:type="dxa" w:w="60"/>
              <w:left w:type="dxa" w:w="100"/>
              <w:bottom w:type="dxa" w:w="60"/>
              <w:right w:type="dxa" w:w="100"/>
            </w:tcMar>
          </w:tcPr>
          <w:p>
            <w:r>
              <w:t xml:space="preserve">Neurologia</w:t>
            </w:r>
          </w:p>
        </w:tc>
        <w:tc>
          <w:tcPr>
            <w:tcW w:type="dxa" w:w="2500"/>
            <w:tcMar>
              <w:top w:type="dxa" w:w="60"/>
              <w:left w:type="dxa" w:w="100"/>
              <w:bottom w:type="dxa" w:w="60"/>
              <w:right w:type="dxa" w:w="100"/>
            </w:tcMar>
          </w:tcPr>
          <w:p>
            <w:r>
              <w:t xml:space="preserve">22</w:t>
            </w:r>
          </w:p>
        </w:tc>
        <w:tc>
          <w:tcPr>
            <w:tcW w:type="dxa" w:w="2500"/>
            <w:tcMar>
              <w:top w:type="dxa" w:w="60"/>
              <w:left w:type="dxa" w:w="100"/>
              <w:bottom w:type="dxa" w:w="60"/>
              <w:right w:type="dxa" w:w="100"/>
            </w:tcMar>
          </w:tcPr>
          <w:p>
            <w:r>
              <w:t xml:space="preserve">22,7%</w:t>
            </w:r>
          </w:p>
        </w:tc>
      </w:tr>
      <w:tr>
        <w:tc>
          <w:tcPr>
            <w:tcW w:type="dxa" w:w="4000"/>
            <w:tcMar>
              <w:top w:type="dxa" w:w="60"/>
              <w:left w:type="dxa" w:w="100"/>
              <w:bottom w:type="dxa" w:w="60"/>
              <w:right w:type="dxa" w:w="100"/>
            </w:tcMar>
          </w:tcPr>
          <w:p>
            <w:r>
              <w:t xml:space="preserve">Otorrinolaringologia</w:t>
            </w:r>
          </w:p>
        </w:tc>
        <w:tc>
          <w:tcPr>
            <w:tcW w:type="dxa" w:w="2500"/>
            <w:tcMar>
              <w:top w:type="dxa" w:w="60"/>
              <w:left w:type="dxa" w:w="100"/>
              <w:bottom w:type="dxa" w:w="60"/>
              <w:right w:type="dxa" w:w="100"/>
            </w:tcMar>
          </w:tcPr>
          <w:p>
            <w:r>
              <w:t xml:space="preserve">19</w:t>
            </w:r>
          </w:p>
        </w:tc>
        <w:tc>
          <w:tcPr>
            <w:tcW w:type="dxa" w:w="2500"/>
            <w:tcMar>
              <w:top w:type="dxa" w:w="60"/>
              <w:left w:type="dxa" w:w="100"/>
              <w:bottom w:type="dxa" w:w="60"/>
              <w:right w:type="dxa" w:w="100"/>
            </w:tcMar>
          </w:tcPr>
          <w:p>
            <w:r>
              <w:t xml:space="preserve">26,3%</w:t>
            </w:r>
          </w:p>
        </w:tc>
      </w:tr>
      <w:tr>
        <w:tc>
          <w:tcPr>
            <w:tcW w:type="dxa" w:w="4000"/>
            <w:tcMar>
              <w:top w:type="dxa" w:w="60"/>
              <w:left w:type="dxa" w:w="100"/>
              <w:bottom w:type="dxa" w:w="60"/>
              <w:right w:type="dxa" w:w="100"/>
            </w:tcMar>
          </w:tcPr>
          <w:p>
            <w:r>
              <w:t xml:space="preserve">Endocrinologia</w:t>
            </w:r>
          </w:p>
        </w:tc>
        <w:tc>
          <w:tcPr>
            <w:tcW w:type="dxa" w:w="2500"/>
            <w:tcMar>
              <w:top w:type="dxa" w:w="60"/>
              <w:left w:type="dxa" w:w="100"/>
              <w:bottom w:type="dxa" w:w="60"/>
              <w:right w:type="dxa" w:w="100"/>
            </w:tcMar>
          </w:tcPr>
          <w:p>
            <w:r>
              <w:t xml:space="preserve">18</w:t>
            </w:r>
          </w:p>
        </w:tc>
        <w:tc>
          <w:tcPr>
            <w:tcW w:type="dxa" w:w="2500"/>
            <w:tcMar>
              <w:top w:type="dxa" w:w="60"/>
              <w:left w:type="dxa" w:w="100"/>
              <w:bottom w:type="dxa" w:w="60"/>
              <w:right w:type="dxa" w:w="100"/>
            </w:tcMar>
          </w:tcPr>
          <w:p>
            <w:r>
              <w:t xml:space="preserve">50,0%</w:t>
            </w:r>
          </w:p>
        </w:tc>
      </w:tr>
      <w:tr>
        <w:tc>
          <w:tcPr>
            <w:tcW w:type="dxa" w:w="4000"/>
            <w:tcMar>
              <w:top w:type="dxa" w:w="60"/>
              <w:left w:type="dxa" w:w="100"/>
              <w:bottom w:type="dxa" w:w="60"/>
              <w:right w:type="dxa" w:w="100"/>
            </w:tcMar>
          </w:tcPr>
          <w:p>
            <w:r>
              <w:t xml:space="preserve">Dermatologia / Oftalmologia</w:t>
            </w:r>
          </w:p>
        </w:tc>
        <w:tc>
          <w:tcPr>
            <w:tcW w:type="dxa" w:w="2500"/>
            <w:tcMar>
              <w:top w:type="dxa" w:w="60"/>
              <w:left w:type="dxa" w:w="100"/>
              <w:bottom w:type="dxa" w:w="60"/>
              <w:right w:type="dxa" w:w="100"/>
            </w:tcMar>
          </w:tcPr>
          <w:p>
            <w:r>
              <w:t xml:space="preserve">16 / 16</w:t>
            </w:r>
          </w:p>
        </w:tc>
        <w:tc>
          <w:tcPr>
            <w:tcW w:type="dxa" w:w="2500"/>
            <w:tcMar>
              <w:top w:type="dxa" w:w="60"/>
              <w:left w:type="dxa" w:w="100"/>
              <w:bottom w:type="dxa" w:w="60"/>
              <w:right w:type="dxa" w:w="100"/>
            </w:tcMar>
          </w:tcPr>
          <w:p>
            <w:r>
              <w:t xml:space="preserve">37,5% / 37,5%</w:t>
            </w:r>
          </w:p>
        </w:tc>
      </w:tr>
      <w:tr>
        <w:tc>
          <w:tcPr>
            <w:tcW w:type="dxa" w:w="4000"/>
            <w:tcMar>
              <w:top w:type="dxa" w:w="60"/>
              <w:left w:type="dxa" w:w="100"/>
              <w:bottom w:type="dxa" w:w="60"/>
              <w:right w:type="dxa" w:w="100"/>
            </w:tcMar>
          </w:tcPr>
          <w:p>
            <w:r>
              <w:t xml:space="preserve">Ortopedia</w:t>
            </w:r>
          </w:p>
        </w:tc>
        <w:tc>
          <w:tcPr>
            <w:tcW w:type="dxa" w:w="2500"/>
            <w:tcMar>
              <w:top w:type="dxa" w:w="60"/>
              <w:left w:type="dxa" w:w="100"/>
              <w:bottom w:type="dxa" w:w="60"/>
              <w:right w:type="dxa" w:w="100"/>
            </w:tcMar>
          </w:tcPr>
          <w:p>
            <w:r>
              <w:t xml:space="preserve">16</w:t>
            </w:r>
          </w:p>
        </w:tc>
        <w:tc>
          <w:tcPr>
            <w:tcW w:type="dxa" w:w="2500"/>
            <w:tcMar>
              <w:top w:type="dxa" w:w="60"/>
              <w:left w:type="dxa" w:w="100"/>
              <w:bottom w:type="dxa" w:w="60"/>
              <w:right w:type="dxa" w:w="100"/>
            </w:tcMar>
          </w:tcPr>
          <w:p>
            <w:r>
              <w:t xml:space="preserve">25,0%</w:t>
            </w:r>
          </w:p>
        </w:tc>
      </w:tr>
      <w:tr>
        <w:tc>
          <w:tcPr>
            <w:tcW w:type="dxa" w:w="4000"/>
            <w:tcMar>
              <w:top w:type="dxa" w:w="60"/>
              <w:left w:type="dxa" w:w="100"/>
              <w:bottom w:type="dxa" w:w="60"/>
              <w:right w:type="dxa" w:w="100"/>
            </w:tcMar>
          </w:tcPr>
          <w:p>
            <w:r>
              <w:t xml:space="preserve">Ginecologia</w:t>
            </w:r>
          </w:p>
        </w:tc>
        <w:tc>
          <w:tcPr>
            <w:tcW w:type="dxa" w:w="2500"/>
            <w:tcMar>
              <w:top w:type="dxa" w:w="60"/>
              <w:left w:type="dxa" w:w="100"/>
              <w:bottom w:type="dxa" w:w="60"/>
              <w:right w:type="dxa" w:w="100"/>
            </w:tcMar>
          </w:tcPr>
          <w:p>
            <w:r>
              <w:t xml:space="preserve">14</w:t>
            </w:r>
          </w:p>
        </w:tc>
        <w:tc>
          <w:tcPr>
            <w:tcW w:type="dxa" w:w="2500"/>
            <w:tcMar>
              <w:top w:type="dxa" w:w="60"/>
              <w:left w:type="dxa" w:w="100"/>
              <w:bottom w:type="dxa" w:w="60"/>
              <w:right w:type="dxa" w:w="100"/>
            </w:tcMar>
          </w:tcPr>
          <w:p>
            <w:r>
              <w:t xml:space="preserve">14,3%</w:t>
            </w:r>
          </w:p>
        </w:tc>
      </w:tr>
      <w:tr>
        <w:tc>
          <w:tcPr>
            <w:tcW w:type="dxa" w:w="4000"/>
            <w:tcMar>
              <w:top w:type="dxa" w:w="60"/>
              <w:left w:type="dxa" w:w="100"/>
              <w:bottom w:type="dxa" w:w="60"/>
              <w:right w:type="dxa" w:w="100"/>
            </w:tcMar>
          </w:tcPr>
          <w:p>
            <w:r>
              <w:t xml:space="preserve">Cardiologia</w:t>
            </w:r>
          </w:p>
        </w:tc>
        <w:tc>
          <w:tcPr>
            <w:tcW w:type="dxa" w:w="2500"/>
            <w:tcMar>
              <w:top w:type="dxa" w:w="60"/>
              <w:left w:type="dxa" w:w="100"/>
              <w:bottom w:type="dxa" w:w="60"/>
              <w:right w:type="dxa" w:w="100"/>
            </w:tcMar>
          </w:tcPr>
          <w:p>
            <w:r>
              <w:t xml:space="preserve">13</w:t>
            </w:r>
          </w:p>
        </w:tc>
        <w:tc>
          <w:tcPr>
            <w:tcW w:type="dxa" w:w="2500"/>
            <w:tcMar>
              <w:top w:type="dxa" w:w="60"/>
              <w:left w:type="dxa" w:w="100"/>
              <w:bottom w:type="dxa" w:w="60"/>
              <w:right w:type="dxa" w:w="100"/>
            </w:tcMar>
          </w:tcPr>
          <w:p>
            <w:r>
              <w:t xml:space="preserve">30,8%</w:t>
            </w:r>
          </w:p>
        </w:tc>
      </w:tr>
      <w:tr>
        <w:tc>
          <w:tcPr>
            <w:tcW w:type="dxa" w:w="4000"/>
            <w:tcMar>
              <w:top w:type="dxa" w:w="60"/>
              <w:left w:type="dxa" w:w="100"/>
              <w:bottom w:type="dxa" w:w="60"/>
              <w:right w:type="dxa" w:w="100"/>
            </w:tcMar>
          </w:tcPr>
          <w:p>
            <w:r>
              <w:t xml:space="preserve">Pediatria / Urologia</w:t>
            </w:r>
          </w:p>
        </w:tc>
        <w:tc>
          <w:tcPr>
            <w:tcW w:type="dxa" w:w="2500"/>
            <w:tcMar>
              <w:top w:type="dxa" w:w="60"/>
              <w:left w:type="dxa" w:w="100"/>
              <w:bottom w:type="dxa" w:w="60"/>
              <w:right w:type="dxa" w:w="100"/>
            </w:tcMar>
          </w:tcPr>
          <w:p>
            <w:r>
              <w:t xml:space="preserve">11 / 11</w:t>
            </w:r>
          </w:p>
        </w:tc>
        <w:tc>
          <w:tcPr>
            <w:tcW w:type="dxa" w:w="2500"/>
            <w:tcMar>
              <w:top w:type="dxa" w:w="60"/>
              <w:left w:type="dxa" w:w="100"/>
              <w:bottom w:type="dxa" w:w="60"/>
              <w:right w:type="dxa" w:w="100"/>
            </w:tcMar>
          </w:tcPr>
          <w:p>
            <w:r>
              <w:t xml:space="preserve">45,5% / 36,4%</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2F4" w:val="clear"/>
            <w:tcMar>
              <w:top w:type="dxa" w:w="150"/>
              <w:left w:type="dxa" w:w="150"/>
              <w:bottom w:type="dxa" w:w="150"/>
              <w:right w:type="dxa" w:w="150"/>
            </w:tcMar>
          </w:tcPr>
          <w:p>
            <w:pPr>
              <w:spacing w:after="60"/>
            </w:pPr>
            <w:r>
              <w:rPr>
                <w:b/>
                <w:bCs/>
              </w:rPr>
              <w:t xml:space="preserve">💡 Insight: </w:t>
            </w:r>
          </w:p>
          <w:p>
            <w:r>
              <w:rPr>
                <w:i/>
                <w:iCs/>
              </w:rPr>
              <w:t xml:space="preserve">Clínica Geral concentra o maior volume (24 consultas), coerente com seu papel de 'porta de entrada'. Mas o dado mais relevante para a gestão não é volume — é cruzar este gráfico com a tabela de risco (seção 5): Endocrinologia tem apenas 18 consultas, porém a MAIOR taxa de no-show (50%), o que a torna prioridade de intervenção mesmo não sendo a especialidade mais movimentada.</w:t>
            </w:r>
          </w:p>
        </w:tc>
      </w:tr>
    </w:tbl>
    <w:p>
      <w:pPr>
        <w:pStyle w:val="Heading1"/>
        <w:spacing w:after="150" w:before="300"/>
      </w:pPr>
      <w:r>
        <w:t xml:space="preserve">3. Faturamento por Mês (Gráfico de Colunas)</w:t>
      </w:r>
    </w:p>
    <w:p>
      <w:pPr>
        <w:spacing w:after="120"/>
      </w:pPr>
      <w:r>
        <w:t xml:space="preserve">Evolução da receita mensal (soma de valor_consulta apenas para consultas com status 'realizada'), de agosto/2024 a fevereiro/2026.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2F4" w:val="clear"/>
            <w:tcMar>
              <w:top w:type="dxa" w:w="150"/>
              <w:left w:type="dxa" w:w="150"/>
              <w:bottom w:type="dxa" w:w="150"/>
              <w:right w:type="dxa" w:w="150"/>
            </w:tcMar>
          </w:tcPr>
          <w:p>
            <w:pPr>
              <w:spacing w:after="60"/>
            </w:pPr>
            <w:r>
              <w:rPr>
                <w:b/>
                <w:bCs/>
              </w:rPr>
              <w:t xml:space="preserve">💡 Insight: </w:t>
            </w:r>
          </w:p>
          <w:p>
            <w:r>
              <w:rPr>
                <w:i/>
                <w:iCs/>
              </w:rPr>
              <w:t xml:space="preserve">O faturamento mensal varia entre R$ 200 e R$ 2.850, com os melhores meses em novembro/2025 (R$ 2.850) e fevereiro/2026 (R$ 2.750). Não há uma tendência linear de crescimento — a variação parece mais ligada ao volume de consultas simuladas por mês do que a uma sazonalidade real. Ao usar o filtro 'fonte = real' no dashboard, este gráfico passa a refletir exclusivamente as 13 consultas realizadas do sistema atual (fevereiro/2026), útil para comparações futuras mês a mês conforme o sistema novo acumular histórico de verdade.</w:t>
            </w:r>
          </w:p>
        </w:tc>
      </w:tr>
    </w:tbl>
    <w:p>
      <w:pPr>
        <w:pStyle w:val="Heading1"/>
        <w:spacing w:after="150" w:before="300"/>
      </w:pPr>
      <w:r>
        <w:t xml:space="preserve">4. Pacientes por Tipo de Plano (Gráfico de Pizza)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3000"/>
      </w:tblGrid>
      <w:tr>
        <w:trPr>
          <w:tblHeader/>
        </w:trPr>
        <w:tc>
          <w:tcPr>
            <w:tcW w:type="dxa" w:w="4000"/>
            <w:shd w:fill="1F4E5F" w:val="clear"/>
            <w:tcMar>
              <w:top w:type="dxa" w:w="80"/>
              <w:left w:type="dxa" w:w="100"/>
              <w:bottom w:type="dxa" w:w="80"/>
              <w:right w:type="dxa" w:w="100"/>
            </w:tcMar>
          </w:tcPr>
          <w:p>
            <w:r>
              <w:rPr>
                <w:b/>
                <w:bCs/>
                <w:color w:val="FFFFFF"/>
              </w:rPr>
              <w:t xml:space="preserve">Tipo de plano</w:t>
            </w:r>
          </w:p>
        </w:tc>
        <w:tc>
          <w:tcPr>
            <w:tcW w:type="dxa" w:w="3000"/>
            <w:shd w:fill="1F4E5F" w:val="clear"/>
            <w:tcMar>
              <w:top w:type="dxa" w:w="80"/>
              <w:left w:type="dxa" w:w="100"/>
              <w:bottom w:type="dxa" w:w="80"/>
              <w:right w:type="dxa" w:w="100"/>
            </w:tcMar>
          </w:tcPr>
          <w:p>
            <w:r>
              <w:rPr>
                <w:b/>
                <w:bCs/>
                <w:color w:val="FFFFFF"/>
              </w:rPr>
              <w:t xml:space="preserve">Pacientes distintos</w:t>
            </w:r>
          </w:p>
        </w:tc>
        <w:tc>
          <w:tcPr>
            <w:tcW w:type="dxa" w:w="3000"/>
            <w:shd w:fill="1F4E5F" w:val="clear"/>
            <w:tcMar>
              <w:top w:type="dxa" w:w="80"/>
              <w:left w:type="dxa" w:w="100"/>
              <w:bottom w:type="dxa" w:w="80"/>
              <w:right w:type="dxa" w:w="100"/>
            </w:tcMar>
          </w:tcPr>
          <w:p>
            <w:r>
              <w:rPr>
                <w:b/>
                <w:bCs/>
                <w:color w:val="FFFFFF"/>
              </w:rPr>
              <w:t xml:space="preserve">Taxa de No-Show</w:t>
            </w:r>
          </w:p>
        </w:tc>
      </w:tr>
      <w:tr>
        <w:tc>
          <w:tcPr>
            <w:tcW w:type="dxa" w:w="4000"/>
            <w:tcMar>
              <w:top w:type="dxa" w:w="60"/>
              <w:left w:type="dxa" w:w="100"/>
              <w:bottom w:type="dxa" w:w="60"/>
              <w:right w:type="dxa" w:w="100"/>
            </w:tcMar>
          </w:tcPr>
          <w:p>
            <w:r>
              <w:t xml:space="preserve">Convênio X</w:t>
            </w:r>
          </w:p>
        </w:tc>
        <w:tc>
          <w:tcPr>
            <w:tcW w:type="dxa" w:w="3000"/>
            <w:tcMar>
              <w:top w:type="dxa" w:w="60"/>
              <w:left w:type="dxa" w:w="100"/>
              <w:bottom w:type="dxa" w:w="60"/>
              <w:right w:type="dxa" w:w="100"/>
            </w:tcMar>
          </w:tcPr>
          <w:p>
            <w:r>
              <w:t xml:space="preserve">54</w:t>
            </w:r>
          </w:p>
        </w:tc>
        <w:tc>
          <w:tcPr>
            <w:tcW w:type="dxa" w:w="3000"/>
            <w:tcMar>
              <w:top w:type="dxa" w:w="60"/>
              <w:left w:type="dxa" w:w="100"/>
              <w:bottom w:type="dxa" w:w="60"/>
              <w:right w:type="dxa" w:w="100"/>
            </w:tcMar>
          </w:tcPr>
          <w:p>
            <w:r>
              <w:t xml:space="preserve">38,2%</w:t>
            </w:r>
          </w:p>
        </w:tc>
      </w:tr>
      <w:tr>
        <w:tc>
          <w:tcPr>
            <w:tcW w:type="dxa" w:w="4000"/>
            <w:tcMar>
              <w:top w:type="dxa" w:w="60"/>
              <w:left w:type="dxa" w:w="100"/>
              <w:bottom w:type="dxa" w:w="60"/>
              <w:right w:type="dxa" w:w="100"/>
            </w:tcMar>
          </w:tcPr>
          <w:p>
            <w:r>
              <w:t xml:space="preserve">Convênio Y</w:t>
            </w:r>
          </w:p>
        </w:tc>
        <w:tc>
          <w:tcPr>
            <w:tcW w:type="dxa" w:w="3000"/>
            <w:tcMar>
              <w:top w:type="dxa" w:w="60"/>
              <w:left w:type="dxa" w:w="100"/>
              <w:bottom w:type="dxa" w:w="60"/>
              <w:right w:type="dxa" w:w="100"/>
            </w:tcMar>
          </w:tcPr>
          <w:p>
            <w:r>
              <w:t xml:space="preserve">50</w:t>
            </w:r>
          </w:p>
        </w:tc>
        <w:tc>
          <w:tcPr>
            <w:tcW w:type="dxa" w:w="3000"/>
            <w:tcMar>
              <w:top w:type="dxa" w:w="60"/>
              <w:left w:type="dxa" w:w="100"/>
              <w:bottom w:type="dxa" w:w="60"/>
              <w:right w:type="dxa" w:w="100"/>
            </w:tcMar>
          </w:tcPr>
          <w:p>
            <w:r>
              <w:t xml:space="preserve">30,3%</w:t>
            </w:r>
          </w:p>
        </w:tc>
      </w:tr>
      <w:tr>
        <w:tc>
          <w:tcPr>
            <w:tcW w:type="dxa" w:w="4000"/>
            <w:tcMar>
              <w:top w:type="dxa" w:w="60"/>
              <w:left w:type="dxa" w:w="100"/>
              <w:bottom w:type="dxa" w:w="60"/>
              <w:right w:type="dxa" w:w="100"/>
            </w:tcMar>
          </w:tcPr>
          <w:p>
            <w:r>
              <w:t xml:space="preserve">Particular</w:t>
            </w:r>
          </w:p>
        </w:tc>
        <w:tc>
          <w:tcPr>
            <w:tcW w:type="dxa" w:w="3000"/>
            <w:tcMar>
              <w:top w:type="dxa" w:w="60"/>
              <w:left w:type="dxa" w:w="100"/>
              <w:bottom w:type="dxa" w:w="60"/>
              <w:right w:type="dxa" w:w="100"/>
            </w:tcMar>
          </w:tcPr>
          <w:p>
            <w:r>
              <w:t xml:space="preserve">48</w:t>
            </w:r>
          </w:p>
        </w:tc>
        <w:tc>
          <w:tcPr>
            <w:tcW w:type="dxa" w:w="3000"/>
            <w:tcMar>
              <w:top w:type="dxa" w:w="60"/>
              <w:left w:type="dxa" w:w="100"/>
              <w:bottom w:type="dxa" w:w="60"/>
              <w:right w:type="dxa" w:w="100"/>
            </w:tcMar>
          </w:tcPr>
          <w:p>
            <w:r>
              <w:t xml:space="preserve">32,4%</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3CD" w:val="clear"/>
            <w:tcMar>
              <w:top w:type="dxa" w:w="150"/>
              <w:left w:type="dxa" w:w="150"/>
              <w:bottom w:type="dxa" w:w="150"/>
              <w:right w:type="dxa" w:w="150"/>
            </w:tcMar>
          </w:tcPr>
          <w:p>
            <w:pPr>
              <w:spacing w:after="60"/>
            </w:pPr>
            <w:r>
              <w:rPr>
                <w:b/>
                <w:bCs/>
              </w:rPr>
              <w:t xml:space="preserve">⚠️ Limitação metodológica: </w:t>
            </w:r>
          </w:p>
          <w:p>
            <w:r>
              <w:rPr>
                <w:i/>
                <w:iCs/>
              </w:rPr>
              <w:t xml:space="preserve">A soma dos pacientes distintos por plano (152) é maior que o total de pacientes únicos (91). Isso indica que, nos dados simulados, o mesmo paciente aparece associado a mais de um tipo de plano em consultas diferentes — uma simplificação do gerador de dados sintéticos (na vida real, o tipo de plano deveria ser um atributo fixo do cadastro do paciente, não variar por consulta). Recomenda-se, na próxima iteração do projeto, fixar o tipo_plano por id_paciente na geração dos dados.</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2F4" w:val="clear"/>
            <w:tcMar>
              <w:top w:type="dxa" w:w="150"/>
              <w:left w:type="dxa" w:w="150"/>
              <w:bottom w:type="dxa" w:w="150"/>
              <w:right w:type="dxa" w:w="150"/>
            </w:tcMar>
          </w:tcPr>
          <w:p>
            <w:pPr>
              <w:spacing w:after="60"/>
            </w:pPr>
            <w:r>
              <w:rPr>
                <w:b/>
                <w:bCs/>
              </w:rPr>
              <w:t xml:space="preserve">💡 Insight: </w:t>
            </w:r>
          </w:p>
          <w:p>
            <w:r>
              <w:rPr>
                <w:i/>
                <w:iCs/>
              </w:rPr>
              <w:t xml:space="preserve">Convênio X tem a maior taxa de no-show (38,2%) entre os 3 grupos, contra 30,3% do Convênio Y. Isso sugere investigar se há diferença na política de confirmação/cobrança de cancelamento entre os convênios contratados pela clínica.</w:t>
            </w:r>
          </w:p>
        </w:tc>
      </w:tr>
    </w:tbl>
    <w:p>
      <w:pPr>
        <w:pStyle w:val="Heading1"/>
        <w:spacing w:after="150" w:before="300"/>
      </w:pPr>
      <w:r>
        <w:t xml:space="preserve">5. Evolução da Taxa de No-Show (Gráfico de Linha)</w:t>
      </w:r>
    </w:p>
    <w:p>
      <w:pPr>
        <w:spacing w:after="120"/>
      </w:pPr>
      <w:r>
        <w:t xml:space="preserve">Taxa de no-show mês a mês, de agosto/2024 a fevereiro/2026.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2F4" w:val="clear"/>
            <w:tcMar>
              <w:top w:type="dxa" w:w="150"/>
              <w:left w:type="dxa" w:w="150"/>
              <w:bottom w:type="dxa" w:w="150"/>
              <w:right w:type="dxa" w:w="150"/>
            </w:tcMar>
          </w:tcPr>
          <w:p>
            <w:pPr>
              <w:spacing w:after="60"/>
            </w:pPr>
            <w:r>
              <w:rPr>
                <w:b/>
                <w:bCs/>
              </w:rPr>
              <w:t xml:space="preserve">💡 Insight: </w:t>
            </w:r>
          </w:p>
          <w:p>
            <w:r>
              <w:rPr>
                <w:i/>
                <w:iCs/>
              </w:rPr>
              <w:t xml:space="preserve">A linha oscila fortemente (de 7,1% em fev/2026 a 75% em nov/2024), o que é esperado dado que vários meses têm poucas consultas (entre 2 e 17 por mês) — amostras pequenas fazem a taxa variar muito de mês a mês só por acaso estatístico. Recomendação prática: ler esse gráfico com uma média móvel trimestral no Power BI (em vez do valor mensal bruto) assim que houver mais dados reais acumulados, para não tomar decisões em cima de ruído estatístico.</w:t>
            </w:r>
          </w:p>
        </w:tc>
      </w:tr>
    </w:tbl>
    <w:p>
      <w:pPr>
        <w:pStyle w:val="Heading1"/>
        <w:spacing w:after="150" w:before="300"/>
      </w:pPr>
      <w:r>
        <w:t xml:space="preserve">6. Tabela de Risco por Especialidade (Formatação Condicional)</w:t>
      </w:r>
    </w:p>
    <w:p>
      <w:pPr>
        <w:spacing w:after="120"/>
      </w:pPr>
      <w:r>
        <w:t xml:space="preserve">Tabela com escala de cores (verde → vermelho) por taxa de no-show, permitindo identificar visualmente, em segundos, quais especialidades merecem atenção prioritária.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2F4" w:val="clear"/>
            <w:tcMar>
              <w:top w:type="dxa" w:w="150"/>
              <w:left w:type="dxa" w:w="150"/>
              <w:bottom w:type="dxa" w:w="150"/>
              <w:right w:type="dxa" w:w="150"/>
            </w:tcMar>
          </w:tcPr>
          <w:p>
            <w:pPr>
              <w:spacing w:after="60"/>
            </w:pPr>
            <w:r>
              <w:rPr>
                <w:b/>
                <w:bCs/>
              </w:rPr>
              <w:t xml:space="preserve">💡 Insight: </w:t>
            </w:r>
          </w:p>
          <w:p>
            <w:r>
              <w:rPr>
                <w:i/>
                <w:iCs/>
              </w:rPr>
              <w:t xml:space="preserve">As 3 especialidades em vermelho no dashboard — Endocrinologia (50%), Psiquiatria e Pediatria (45,5% cada) — respondem por risco de perda de receita desproporcional ao seu volume. Já Ginecologia (14,3%) e Neurologia (22,7%) têm o comportamento mais previsível de agenda, podendo servir de benchmark interno de boas práticas (ex: replicar o processo de confirmação de consulta que esses setores já usam para as demais especialidades).</w:t>
            </w:r>
          </w:p>
        </w:tc>
      </w:tr>
    </w:tbl>
    <w:p>
      <w:pPr>
        <w:pStyle w:val="Heading1"/>
        <w:spacing w:after="150" w:before="300"/>
      </w:pPr>
      <w:r>
        <w:t xml:space="preserve">7. Recomendações Gerais</w:t>
      </w:r>
    </w:p>
    <w:p>
      <w:pPr>
        <w:spacing w:after="120"/>
      </w:pPr>
      <w:r>
        <w:t xml:space="preserve">Com base no conjunto do dashboard, as recomendações práticas para a diretoria da ClínicaCare são:</w:t>
      </w:r>
    </w:p>
    <w:p>
      <w:pPr>
        <w:pStyle w:val="ListParagraph"/>
        <w:numPr>
          <w:ilvl w:val="0"/>
          <w:numId w:val="1"/>
        </w:numPr>
        <w:spacing w:after="100"/>
      </w:pPr>
      <w:r>
        <w:t xml:space="preserve">Priorizar lembretes automáticos de confirmação (SMS/WhatsApp) para Endocrinologia, Psiquiatria e Pediatria — as 3 especialidades com maior taxa de no-show.</w:t>
      </w:r>
    </w:p>
    <w:p>
      <w:pPr>
        <w:pStyle w:val="ListParagraph"/>
        <w:numPr>
          <w:ilvl w:val="0"/>
          <w:numId w:val="1"/>
        </w:numPr>
        <w:spacing w:after="100"/>
      </w:pPr>
      <w:r>
        <w:t xml:space="preserve">Criar um alerta operacional simples baseado no histórico do próprio paciente: quem já faltou 1 vez tem quase 50% mais chance de faltar de novo (30% → 44%) — esse paciente deveria receber uma confirmação extra ou uma ligação, não só o lembrete padrão.</w:t>
      </w:r>
    </w:p>
    <w:p>
      <w:pPr>
        <w:pStyle w:val="ListParagraph"/>
        <w:numPr>
          <w:ilvl w:val="0"/>
          <w:numId w:val="1"/>
        </w:numPr>
        <w:spacing w:after="100"/>
      </w:pPr>
      <w:r>
        <w:t xml:space="preserve">Investigar por que o Convênio X apresenta taxa de no-show mais alta (38,2%) que os demais grupos, possivelmente revisando a política de confirmação/cobrança desse convênio específico.</w:t>
      </w:r>
    </w:p>
    <w:p>
      <w:pPr>
        <w:pStyle w:val="ListParagraph"/>
        <w:numPr>
          <w:ilvl w:val="0"/>
          <w:numId w:val="1"/>
        </w:numPr>
        <w:spacing w:after="100"/>
      </w:pPr>
      <w:r>
        <w:t xml:space="preserve">Corrigir, na próxima geração de dados, a inconsistência do tipo_plano variar por consulta em vez de ser fixo por paciente — isso vai tornar o gráfico de pizza e os filtros mais confiáveis.</w:t>
      </w:r>
    </w:p>
    <w:p>
      <w:pPr>
        <w:pStyle w:val="ListParagraph"/>
        <w:numPr>
          <w:ilvl w:val="0"/>
          <w:numId w:val="1"/>
        </w:numPr>
        <w:spacing w:after="100"/>
      </w:pPr>
      <w:r>
        <w:t xml:space="preserve">Acompanhar a evolução mensal com médias móveis (trimestral), não valores brutos mês a mês, assim que houver mais dados reais — o volume atual por mês é baixo demais para tendências pontuais serem confiáveis.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2026-08-30T12:40:07.963Z</dcterms:created>
  <dcterms:modified xsi:type="dcterms:W3CDTF">2026-08-30T12:40:07.977Z</dcterms:modified>
</cp:coreProperties>
</file>

<file path=docProps/custom.xml><?xml version="1.0" encoding="utf-8"?>
<Properties xmlns="http://schemas.openxmlformats.org/officeDocument/2006/custom-properties" xmlns:vt="http://schemas.openxmlformats.org/officeDocument/2006/docPropsVTypes"/>
</file>