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BDR - Modélisation Conceptuelle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Gestion de saison de sportive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-779521</wp:posOffset>
            </wp:positionH>
            <wp:positionV relativeFrom="paragraph">
              <wp:posOffset>171450</wp:posOffset>
            </wp:positionV>
            <wp:extent cx="7487850" cy="522294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7850" cy="52229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Contraintes d’intégrité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 club et ses équipes doivent pratiquer le même sport que les ligues dans lesquelles elles jouent.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 numéro de maillot doit être unique dans une équipe.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 joueur ne peut être licencié qu’une seule fois dans une même fédération.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champs </w:t>
      </w:r>
      <w:r w:rsidDel="00000000" w:rsidR="00000000" w:rsidRPr="00000000">
        <w:rPr>
          <w:i w:val="1"/>
          <w:rtl w:val="0"/>
        </w:rPr>
        <w:t xml:space="preserve">Game.game_id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User.email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i w:val="1"/>
          <w:rtl w:val="0"/>
        </w:rPr>
        <w:t xml:space="preserve">Sport.name</w:t>
      </w:r>
      <w:r w:rsidDel="00000000" w:rsidR="00000000" w:rsidRPr="00000000">
        <w:rPr>
          <w:rtl w:val="0"/>
        </w:rPr>
        <w:t xml:space="preserve"> doivent être uniques.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  <w:t xml:space="preserve">27.10.2020</w:t>
      <w:tab/>
      <w:tab/>
      <w:tab/>
      <w:tab/>
      <w:tab/>
      <w:tab/>
      <w:tab/>
      <w:tab/>
      <w:tab/>
      <w:tab/>
      <w:t xml:space="preserve">Page 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spacing w:after="240" w:before="240" w:lineRule="auto"/>
      <w:rPr/>
    </w:pPr>
    <w:r w:rsidDel="00000000" w:rsidR="00000000" w:rsidRPr="00000000">
      <w:rPr>
        <w:sz w:val="28"/>
        <w:szCs w:val="28"/>
        <w:rtl w:val="0"/>
      </w:rPr>
      <w:t xml:space="preserve">BDR - Modélisation Conceptuelle </w:t>
      <w:tab/>
      <w:tab/>
    </w:r>
    <w:r w:rsidDel="00000000" w:rsidR="00000000" w:rsidRPr="00000000">
      <w:rPr>
        <w:rtl w:val="0"/>
      </w:rPr>
      <w:t xml:space="preserve">Nicolas Crausaz, Maxime Scharwath</w:t>
    </w:r>
  </w:p>
  <w:p w:rsidR="00000000" w:rsidDel="00000000" w:rsidP="00000000" w:rsidRDefault="00000000" w:rsidRPr="00000000" w14:paraId="0000000E">
    <w:pPr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