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/>
        <w:t xml:space="preserve"> </w:t>
      </w:r>
      <w:r>
        <w:rPr/>
        <w:t>销售</w:t>
      </w:r>
      <w:r>
        <w:rPr/>
        <w:t>手册</w:t>
      </w:r>
    </w:p>
    <w:p>
      <w:pPr>
        <w:pStyle w:val="axp4zf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客户画像 —（Who · What · Where · How · When）</w:t>
      </w:r>
    </w:p>
    <w:tbl>
      <w:tblPr>
        <w:tblStyle w:val="z2yo04"/>
        <w:tblLayout w:type="fixed"/>
      </w:tblPr>
      <w:tblGrid>
        <w:gridCol w:w="3294"/>
        <w:gridCol w:w="8504"/>
      </w:tblGrid>
      <w:tr>
        <w:trPr/>
        <w:tc>
          <w:tcPr>
            <w:tcW w:w="329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Microsoft YaHei" w:hAnsi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维度</w:t>
            </w:r>
          </w:p>
        </w:tc>
        <w:tc>
          <w:tcPr>
            <w:tcW w:w="850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Microsoft YaHei" w:hAnsi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关键信息（简明要点）</w:t>
            </w:r>
          </w:p>
        </w:tc>
      </w:tr>
      <w:tr>
        <w:trPr/>
        <w:tc>
          <w:tcPr>
            <w:tcW w:w="329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Who – 谁在买？</w:t>
            </w:r>
          </w:p>
        </w:tc>
        <w:tc>
          <w:tcPr>
            <w:tcW w:w="850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• 核心：35–45 岁华人/东南亚移民夫妻，1–2 名学龄子女，家庭税前收入 ≈ $220–300 k ；</w:t>
            </w:r>
          </w:p>
          <w:p>
            <w:pPr>
              <w:pBdr/>
              <w:snapToGrid/>
              <w:spacing w:before="0" w:after="0" w:line="240"/>
              <w:ind/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• 辅助：55 岁+ downsizer 空巢夫妇；28–34 岁首次置业青年（父母资助）；多套房投资客</w:t>
            </w:r>
          </w:p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329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What – 他们要买什么？</w:t>
            </w:r>
          </w:p>
        </w:tc>
        <w:tc>
          <w:tcPr>
            <w:tcW w:w="850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• 4 房（最低 3 房） • 全新低维护 • 社区安全 • 升值潜力 • 高性价比 • 对口优质小/中学 • 周边购物/医疗/交通便利 • 区域口碑佳</w:t>
            </w:r>
          </w:p>
        </w:tc>
      </w:tr>
      <w:tr>
        <w:trPr/>
        <w:tc>
          <w:tcPr>
            <w:tcW w:w="329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Where – 他们现在住哪？</w:t>
            </w:r>
          </w:p>
        </w:tc>
        <w:tc>
          <w:tcPr>
            <w:tcW w:w="850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• 已居住在项目周边 </w:t>
            </w:r>
            <w:r>
              <w:rPr>
                <w:rFonts w:ascii="Microsoft YaHei" w:hAnsi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 km</w:t>
            </w: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东南学区带（Vermont South、Glen Waverley、Mount Waverley、Box Hill、Burwood East 等）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• 现状：要么自住旧独立屋/老 townhouse，想换新；要么在同区租房，计划首次置业</w:t>
            </w:r>
          </w:p>
        </w:tc>
      </w:tr>
      <w:tr>
        <w:trPr/>
        <w:tc>
          <w:tcPr>
            <w:tcW w:w="329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How – 他们如何“找房”？</w:t>
            </w:r>
          </w:p>
        </w:tc>
        <w:tc>
          <w:tcPr>
            <w:tcW w:w="850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• </w:t>
            </w:r>
            <w:r>
              <w:rPr>
                <w:rFonts w:ascii="Microsoft YaHei" w:hAnsi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线上搜索</w:t>
            </w: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：Domain、RealEstate.com.au 学区筛选、Google 关键词（“Vermont South townhouse” 等）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• </w:t>
            </w:r>
            <w:r>
              <w:rPr>
                <w:rFonts w:ascii="Microsoft YaHei" w:hAnsi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社区口碑</w:t>
            </w: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：学区家长微信群、亲友推荐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• </w:t>
            </w:r>
            <w:r>
              <w:rPr>
                <w:rFonts w:ascii="Microsoft YaHei" w:hAnsi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实地浏览</w:t>
            </w: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：周末开车看售房板、工地围挡；逛 Box Hill Central、The Glen 等购物中心留意房产灯箱；主干道公交站牌、巴士车身招贴在通勤中反复可见</w:t>
            </w:r>
          </w:p>
        </w:tc>
      </w:tr>
      <w:tr>
        <w:trPr/>
        <w:tc>
          <w:tcPr>
            <w:tcW w:w="329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When – 他们何时出手？</w:t>
            </w:r>
          </w:p>
        </w:tc>
        <w:tc>
          <w:tcPr>
            <w:tcW w:w="850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• 学区家庭：学年开始前 6–12 个月或利率下行期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• 投资客：判断市场进入“低位”或有税费减免窗口时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• Downsizer：售出旧屋后随时购入，受市场周期影响小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• 首置青年：政府补贴/印花税优惠期 + 利率低点最活跃</w:t>
            </w:r>
          </w:p>
        </w:tc>
      </w:tr>
    </w:tbl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• 华人（中国大陆、港澳台、马来西亚等）≈ 55 %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• 其他亚裔（印度、斯里兰卡等）≈ 15 %</w:t>
      </w:r>
    </w:p>
    <w:p>
      <w:pPr>
        <w:numPr/>
        <w:snapToGrid/>
        <w:spacing w:before="0" w:after="0" w:line="240"/>
        <w:ind/>
        <w:rPr/>
      </w:pPr>
      <w:r>
        <w:rPr>
          <w:i w:val="false"/>
          <w:strike w:val="false"/>
          <w:color w:val="000000"/>
          <w:u w:val="none"/>
        </w:rPr>
        <w:t>• 本地澳籍 ≈ 30 % （澳洲统计局数据）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产品分析</w:t>
      </w:r>
    </w:p>
    <w:p>
      <w:pPr>
        <w:pStyle w:val="xjht7v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2.1 小区区位与配套优势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超低容积率 30 %</w:t>
      </w:r>
      <w:r>
        <w:rPr>
          <w:i w:val="false"/>
          <w:strike w:val="false"/>
          <w:color w:val="000000"/>
          <w:u w:val="none"/>
        </w:rPr>
        <w:t xml:space="preserve"> 常规联排约 60 %，大幅保留公共绿化，住户免私家花园打理。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Vermont Secondary College 学区</w:t>
      </w:r>
      <w:r>
        <w:rPr>
          <w:i w:val="false"/>
          <w:strike w:val="false"/>
          <w:color w:val="000000"/>
          <w:u w:val="none"/>
        </w:rPr>
        <w:t xml:space="preserve"> 区口碑优良，小学-中学双学区覆盖。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高尔夫球场景观</w:t>
      </w:r>
      <w:r>
        <w:rPr>
          <w:i w:val="false"/>
          <w:strike w:val="false"/>
          <w:color w:val="000000"/>
          <w:u w:val="none"/>
        </w:rPr>
        <w:t xml:space="preserve"> 项目北侧紧邻 18 洞标准球场，开阔视野与高端休闲资源兼得。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东侧 Dandenong Creek Trail</w:t>
      </w:r>
      <w:r>
        <w:rPr>
          <w:i w:val="false"/>
          <w:strike w:val="false"/>
          <w:color w:val="000000"/>
          <w:u w:val="none"/>
        </w:rPr>
        <w:t xml:space="preserve"> 现成徒步与骑行步道，出家门即可运动。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南侧 Medical Center</w:t>
      </w:r>
      <w:r>
        <w:rPr>
          <w:i w:val="false"/>
          <w:strike w:val="false"/>
          <w:color w:val="000000"/>
          <w:u w:val="none"/>
        </w:rPr>
        <w:t xml:space="preserve"> 全科、牙科、眼科、药房、验血一站式，老人就医步行距离。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西南侧 Officeworks &amp; Bunnings</w:t>
      </w:r>
      <w:r>
        <w:rPr>
          <w:i w:val="false"/>
          <w:strike w:val="false"/>
          <w:color w:val="000000"/>
          <w:u w:val="none"/>
        </w:rPr>
        <w:t xml:space="preserve"> 办公用品与家居建材随时补给。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步行可到 Coles 加油站</w:t>
      </w:r>
      <w:r>
        <w:rPr>
          <w:i w:val="false"/>
          <w:strike w:val="false"/>
          <w:color w:val="000000"/>
          <w:u w:val="none"/>
        </w:rPr>
        <w:t xml:space="preserve"> 加油与简易购物一并解决。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5 分钟车程 Vermont South Shopping Centre</w:t>
      </w:r>
      <w:r>
        <w:rPr>
          <w:i w:val="false"/>
          <w:strike w:val="false"/>
          <w:color w:val="000000"/>
          <w:u w:val="none"/>
        </w:rPr>
        <w:t xml:space="preserve"> Coles、Aldi 与两家药妆，日常采买方便。</w:t>
      </w:r>
    </w:p>
    <w:p>
      <w:pPr>
        <w:numPr>
          <w:ilvl w:val="0"/>
          <w:numId w:val="1"/>
        </w:numPr>
        <w:pBdr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环伺多座区域购物中心</w:t>
      </w:r>
      <w:r>
        <w:rPr>
          <w:i w:val="false"/>
          <w:strike w:val="false"/>
          <w:color w:val="000000"/>
          <w:u w:val="none"/>
        </w:rPr>
        <w:t xml:space="preserve"> 10 分钟车程触达 The Glen、Knox；20 分钟到 Box Hill，自驾生活半径成熟。</w:t>
      </w:r>
    </w:p>
    <w:p>
      <w:pPr>
        <w:pStyle w:val="xjht7v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2.2 户型与住居优势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以居住习惯为原点的设计</w:t>
      </w:r>
      <w:r>
        <w:rPr>
          <w:i w:val="false"/>
          <w:strike w:val="false"/>
          <w:color w:val="000000"/>
          <w:u w:val="none"/>
        </w:rPr>
        <w:t xml:space="preserve"> —— 充分考虑华人/亚裔家庭动线：</w:t>
      </w:r>
    </w:p>
    <w:p>
      <w:pPr>
        <w:numPr>
          <w:ilvl w:val="1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宽敞开放式厨房与餐客一体，方便多人下厨与聚餐</w:t>
      </w:r>
    </w:p>
    <w:p>
      <w:pPr>
        <w:numPr>
          <w:ilvl w:val="1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半室外 BBQ 露台与后院草坪一线连通，兼顾亲友招待与儿童活动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充足室内空间</w:t>
      </w:r>
      <w:r>
        <w:rPr>
          <w:i w:val="false"/>
          <w:strike w:val="false"/>
          <w:color w:val="000000"/>
          <w:u w:val="none"/>
        </w:rPr>
        <w:t xml:space="preserve"> —— 22–24 sq 室内实用面积，4 房 + 独立书房，底层可设长辈套房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灵活半室外空间</w:t>
      </w:r>
      <w:r>
        <w:rPr>
          <w:i w:val="false"/>
          <w:strike w:val="false"/>
          <w:color w:val="000000"/>
          <w:u w:val="none"/>
        </w:rPr>
        <w:t xml:space="preserve"> —— 覆盖式露台、可折叠门设计，雨天亦可使用；后院面积适中，易打理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双车库 + 访客位</w:t>
      </w:r>
      <w:r>
        <w:rPr>
          <w:i w:val="false"/>
          <w:strike w:val="false"/>
          <w:color w:val="000000"/>
          <w:u w:val="none"/>
        </w:rPr>
        <w:t xml:space="preserve"> —— 标配两车并排车库，方便日常出入与电动车充电预留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强收纳体系</w:t>
      </w:r>
      <w:r>
        <w:rPr>
          <w:i w:val="false"/>
          <w:strike w:val="false"/>
          <w:color w:val="000000"/>
          <w:u w:val="none"/>
        </w:rPr>
        <w:t xml:space="preserve"> —— 步入式 pantry、全屋嵌入衣柜、车库系统柜，满足大宗采购和季节囤物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低维护高品质</w:t>
      </w:r>
      <w:r>
        <w:rPr>
          <w:i w:val="false"/>
          <w:strike w:val="false"/>
          <w:color w:val="000000"/>
          <w:u w:val="none"/>
        </w:rPr>
        <w:t xml:space="preserve"> —— 耐候立面材料、小花园、节能设备，节省打理时间与持有成本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智能与未来预留</w:t>
      </w:r>
      <w:r>
        <w:rPr>
          <w:i w:val="false"/>
          <w:strike w:val="false"/>
          <w:color w:val="000000"/>
          <w:u w:val="none"/>
        </w:rPr>
        <w:t xml:space="preserve"> —— 三相电、EV 充电接口、智能家居主机可升级，屋顶光伏+储能可选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安全舒适</w:t>
      </w:r>
      <w:r>
        <w:rPr>
          <w:i w:val="false"/>
          <w:strike w:val="false"/>
          <w:color w:val="000000"/>
          <w:u w:val="none"/>
        </w:rPr>
        <w:t xml:space="preserve"> —— 私密车道、智能门铃摄像头选配，中空玻璃与高效保温隔音确保宁静</w:t>
      </w:r>
    </w:p>
    <w:p>
      <w:pPr>
        <w:pBdr/>
        <w:snapToGrid/>
        <w:spacing w:line="240"/>
        <w:ind w:left="0"/>
        <w:rPr/>
      </w:pPr>
      <w:r>
        <w:rPr/>
        <w:t>（</w:t>
      </w:r>
      <w:r>
        <w:rPr/>
        <w:t>结合</w:t>
      </w:r>
      <w:r>
        <w:rPr/>
        <w:t>之后</w:t>
      </w:r>
      <w:r>
        <w:rPr/>
        <w:t>的</w:t>
      </w:r>
      <w:r>
        <w:rPr/>
        <w:t>内装</w:t>
      </w:r>
      <w:r>
        <w:rPr/>
        <w:t>选材</w:t>
      </w:r>
      <w:r>
        <w:rPr/>
        <w:t>，</w:t>
      </w:r>
      <w:r>
        <w:rPr/>
        <w:t>再完善</w:t>
      </w:r>
      <w:r>
        <w:rPr/>
        <w:t>）</w:t>
      </w:r>
    </w:p>
    <w:p>
      <w:pPr>
        <w:pStyle w:val="xjht7v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2.3 不可变硬伤 &amp; 销售缓解说辞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三层户型受众面窄、需市场教育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/>
          <w:strike w:val="false"/>
          <w:color w:val="000000"/>
          <w:u w:val="none"/>
        </w:rPr>
        <w:t>说辞</w:t>
      </w:r>
      <w:r>
        <w:rPr>
          <w:i w:val="false"/>
          <w:strike w:val="false"/>
          <w:color w:val="000000"/>
          <w:u w:val="none"/>
        </w:rPr>
        <w:t>：用“楼梯换面积”逻辑——同价区间多出 10–20 % 室内空间；功能分层（老人房 / 公共区 / 儿童区）带来私密与安静。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/>
          <w:strike w:val="false"/>
          <w:color w:val="000000"/>
          <w:u w:val="none"/>
        </w:rPr>
        <w:t>补充</w:t>
      </w:r>
      <w:r>
        <w:rPr>
          <w:i w:val="false"/>
          <w:strike w:val="false"/>
          <w:color w:val="000000"/>
          <w:u w:val="none"/>
        </w:rPr>
        <w:t>：示范样板动线、短视频展示日常使用场景，降低心理距离。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仅两侧采光，朝向决定通风质量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/>
          <w:strike w:val="false"/>
          <w:color w:val="000000"/>
          <w:u w:val="none"/>
        </w:rPr>
        <w:t>说辞</w:t>
      </w:r>
      <w:r>
        <w:rPr>
          <w:i w:val="false"/>
          <w:strike w:val="false"/>
          <w:color w:val="000000"/>
          <w:u w:val="none"/>
        </w:rPr>
        <w:t>：绝大部分户型已布置北向客厅；东/西/南向户型加装高位侧窗与天窗补光；全屋中空玻璃+机械通风确保空气流通。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土地仅 83 m²/套，远低于市场均值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/>
          <w:strike w:val="false"/>
          <w:color w:val="000000"/>
          <w:u w:val="none"/>
        </w:rPr>
        <w:t>说辞</w:t>
      </w:r>
      <w:r>
        <w:rPr>
          <w:i w:val="false"/>
          <w:strike w:val="false"/>
          <w:color w:val="000000"/>
          <w:u w:val="none"/>
        </w:rPr>
        <w:t>：低容积率 30 %，把私家后院交给公共绿化；住户免花园维护，节约时间与成本；主打“室内更大、户外共享”。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高密度邻里，担心噪音与隐私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/>
          <w:strike w:val="false"/>
          <w:color w:val="000000"/>
          <w:u w:val="none"/>
        </w:rPr>
        <w:t>说辞</w:t>
      </w:r>
      <w:r>
        <w:rPr>
          <w:i w:val="false"/>
          <w:strike w:val="false"/>
          <w:color w:val="000000"/>
          <w:u w:val="none"/>
        </w:rPr>
        <w:t>：采用双层隔音墙、楼板吸音垫；社区设有居住守则与物业巡查；公共绿化与步道营造缓冲带，减少直接对视。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邻近高尔夫球场、Medical Center、储物仓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/>
          <w:strike w:val="false"/>
          <w:color w:val="000000"/>
          <w:u w:val="none"/>
        </w:rPr>
        <w:t>说辞</w:t>
      </w:r>
      <w:r>
        <w:rPr>
          <w:i w:val="false"/>
          <w:strike w:val="false"/>
          <w:color w:val="000000"/>
          <w:u w:val="none"/>
        </w:rPr>
        <w:t>：高尔夫球场带来永久开阔景观；Medical Center 步行即达，老人就医便利；仓库白天作业、夜间静音，不涉及重车噪音。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价格不在“最低”梯队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/>
          <w:strike w:val="false"/>
          <w:color w:val="000000"/>
          <w:u w:val="none"/>
        </w:rPr>
        <w:t>说辞</w:t>
      </w:r>
      <w:r>
        <w:rPr>
          <w:i w:val="false"/>
          <w:strike w:val="false"/>
          <w:color w:val="000000"/>
          <w:u w:val="none"/>
        </w:rPr>
        <w:t>：含印花税减免平均省 $60 k；室内面积大于同价联排，配置、学区、绿化均溢价；与独立屋相比仍便宜 $300 k+。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每年约 $2 k 物业费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/>
          <w:strike w:val="false"/>
          <w:color w:val="000000"/>
          <w:u w:val="none"/>
        </w:rPr>
        <w:t>说辞</w:t>
      </w:r>
      <w:r>
        <w:rPr>
          <w:i w:val="false"/>
          <w:strike w:val="false"/>
          <w:color w:val="000000"/>
          <w:u w:val="none"/>
        </w:rPr>
        <w:t>：费用已含房屋保险、公共绿化与外墙维保；若自管独立屋，仅园丁+保险开销即接近此数；换来“零打理”省心体验。</w:t>
      </w:r>
    </w:p>
    <w:p>
      <w:pPr>
        <w:snapToGrid/>
        <w:spacing w:line="240"/>
        <w:ind w:left="0"/>
        <w:rPr/>
      </w:pPr>
    </w:p>
    <w:p>
      <w:pPr>
        <w:pStyle w:val="fwj4da"/>
        <w:numPr>
          <w:ilvl w:val="0"/>
          <w:numId w:val="4"/>
        </w:numPr>
        <w:rPr/>
      </w:pPr>
      <w:r>
        <w:rPr>
          <w:b/>
          <w:i w:val="false"/>
          <w:strike w:val="false"/>
          <w:color w:val="000000"/>
          <w:u w:val="none"/>
        </w:rPr>
        <w:t>竞品分析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价格、面积、配置、交房时间逐项对比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（</w:t>
      </w:r>
      <w:r>
        <w:rPr>
          <w:i w:val="false"/>
          <w:strike w:val="false"/>
          <w:color w:val="000000"/>
          <w:u w:val="none"/>
        </w:rPr>
        <w:t>再继续</w:t>
      </w:r>
      <w:r>
        <w:rPr>
          <w:i w:val="false"/>
          <w:strike w:val="false"/>
          <w:color w:val="000000"/>
          <w:u w:val="none"/>
        </w:rPr>
        <w:t>完善</w:t>
      </w:r>
      <w:r>
        <w:rPr>
          <w:i w:val="false"/>
          <w:strike w:val="false"/>
          <w:color w:val="000000"/>
          <w:u w:val="none"/>
        </w:rPr>
        <w:t>）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我方 &gt; 对手／对手 &gt; 我方 的要点</w:t>
      </w:r>
    </w:p>
    <w:p>
      <w:pPr>
        <w:pStyle w:val="fwj4da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4. 市场分析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供需面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东南学区带新房供应持续紧缺，二手独立屋成交周期缩短，库存处在五年低位。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人口 &amp; 移民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技术与留学生移民配额恢复，高技能华语背景家庭仍首选东南学区定居。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利率与政策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RBA 在 2025 H2 进入降息通道，主流银行预测 2026 年全年再下调 25–50 bp；印花税减免窗口延至 2026 Q4。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价格趋势判断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2024–2025 年区内 townhouse 均价已企稳，成交价较去年同期小幅上扬 2–3 %；预计 2026 年随利率下行、移民回流，进入 </w:t>
      </w:r>
      <w:r>
        <w:rPr>
          <w:b/>
          <w:i w:val="false"/>
          <w:strike w:val="false"/>
          <w:color w:val="000000"/>
          <w:u w:val="none"/>
        </w:rPr>
        <w:t>温和上升通道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竞品走向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同区在售联排项目仍主打 2 层、面积 18–20 sq，总价 $1.0 M–$1.1 M；缺乏大四房产品。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13mc4e"/>
        <w:snapToGrid/>
        <w:spacing w:line="240"/>
        <w:ind w:left="336"/>
        <w:rPr/>
      </w:pPr>
      <w:r>
        <w:rPr>
          <w:i w:val="false"/>
          <w:strike w:val="false"/>
          <w:color w:val="000000"/>
          <w:u w:val="none"/>
        </w:rPr>
        <w:t>产品硬件对比与定价策略</w:t>
      </w:r>
    </w:p>
    <w:p>
      <w:pPr>
        <w:pStyle w:val="axp4zf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一、产品硬件对比</w:t>
      </w:r>
    </w:p>
    <w:p>
      <w:pPr>
        <w:snapToGrid/>
        <w:spacing w:line="240"/>
        <w:ind w:left="336"/>
        <w:rPr/>
      </w:pPr>
      <w:r>
        <w:rPr>
          <w:i w:val="false"/>
          <w:strike w:val="false"/>
          <w:color w:val="000000"/>
          <w:u w:val="none"/>
        </w:rPr>
        <w:t>Vermont South 本项目与周边在售或近期成交的竞品相比，具有明显的空间效率和舒适性优势：</w:t>
      </w:r>
    </w:p>
    <w:tbl>
      <w:tblPr>
        <w:tblStyle w:val="z2yo04"/>
        <w:tblLayout w:type="fixed"/>
      </w:tblPr>
      <w:tblGrid>
        <w:gridCol w:w="1928"/>
        <w:gridCol w:w="952"/>
        <w:gridCol w:w="3075"/>
        <w:gridCol w:w="1440"/>
        <w:gridCol w:w="2955"/>
        <w:gridCol w:w="6458"/>
      </w:tblGrid>
      <w:tr>
        <w:trPr/>
        <w:tc>
          <w:tcPr>
            <w:tcW w:w="19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项目名称</w:t>
            </w:r>
          </w:p>
        </w:tc>
        <w:tc>
          <w:tcPr>
            <w:tcW w:w="9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区域</w:t>
            </w:r>
          </w:p>
        </w:tc>
        <w:tc>
          <w:tcPr>
            <w:tcW w:w="30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产品类型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土地面积</w:t>
            </w:r>
          </w:p>
        </w:tc>
        <w:tc>
          <w:tcPr>
            <w:tcW w:w="29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建筑面积</w:t>
            </w:r>
          </w:p>
        </w:tc>
        <w:tc>
          <w:tcPr>
            <w:tcW w:w="645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综合评价</w:t>
            </w:r>
          </w:p>
        </w:tc>
      </w:tr>
      <w:tr>
        <w:trPr/>
        <w:tc>
          <w:tcPr>
            <w:tcW w:w="19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Oak Place</w:t>
            </w:r>
          </w:p>
        </w:tc>
        <w:tc>
          <w:tcPr>
            <w:tcW w:w="9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Wantina</w:t>
            </w:r>
          </w:p>
        </w:tc>
        <w:tc>
          <w:tcPr>
            <w:tcW w:w="30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三层联排别墅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150㎡</w:t>
            </w:r>
          </w:p>
        </w:tc>
        <w:tc>
          <w:tcPr>
            <w:tcW w:w="29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260㎡</w:t>
            </w:r>
          </w:p>
        </w:tc>
        <w:tc>
          <w:tcPr>
            <w:tcW w:w="645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区域不同，定位偏高端</w:t>
            </w:r>
          </w:p>
        </w:tc>
      </w:tr>
      <w:tr>
        <w:trPr/>
        <w:tc>
          <w:tcPr>
            <w:tcW w:w="19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404 Burwood Highway</w:t>
            </w:r>
          </w:p>
        </w:tc>
        <w:tc>
          <w:tcPr>
            <w:tcW w:w="9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Vermont South</w:t>
            </w:r>
          </w:p>
        </w:tc>
        <w:tc>
          <w:tcPr>
            <w:tcW w:w="30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三层联排别墅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100㎡</w:t>
            </w:r>
          </w:p>
        </w:tc>
        <w:tc>
          <w:tcPr>
            <w:tcW w:w="29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220㎡</w:t>
            </w:r>
          </w:p>
        </w:tc>
        <w:tc>
          <w:tcPr>
            <w:tcW w:w="645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高密度开发，舒适度不足</w:t>
            </w:r>
          </w:p>
        </w:tc>
      </w:tr>
      <w:tr>
        <w:trPr/>
        <w:tc>
          <w:tcPr>
            <w:tcW w:w="19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周边恋爱别墅</w:t>
            </w:r>
          </w:p>
        </w:tc>
        <w:tc>
          <w:tcPr>
            <w:tcW w:w="9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Vermont South</w:t>
            </w:r>
          </w:p>
        </w:tc>
        <w:tc>
          <w:tcPr>
            <w:tcW w:w="30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独栋/双拼别墅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200㎡</w:t>
            </w:r>
          </w:p>
        </w:tc>
        <w:tc>
          <w:tcPr>
            <w:tcW w:w="29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180-200㎡</w:t>
            </w:r>
          </w:p>
        </w:tc>
        <w:tc>
          <w:tcPr>
            <w:tcW w:w="645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地大房小，功能不足</w:t>
            </w:r>
          </w:p>
        </w:tc>
      </w:tr>
      <w:tr>
        <w:trPr/>
        <w:tc>
          <w:tcPr>
            <w:tcW w:w="19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本项目</w:t>
            </w:r>
          </w:p>
        </w:tc>
        <w:tc>
          <w:tcPr>
            <w:tcW w:w="9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Vermont South</w:t>
            </w:r>
          </w:p>
        </w:tc>
        <w:tc>
          <w:tcPr>
            <w:tcW w:w="30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三层联排别墅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120㎡</w:t>
            </w:r>
          </w:p>
        </w:tc>
        <w:tc>
          <w:tcPr>
            <w:tcW w:w="29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249㎡</w:t>
            </w:r>
          </w:p>
        </w:tc>
        <w:tc>
          <w:tcPr>
            <w:tcW w:w="645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功能齐全，空间效率高</w:t>
            </w:r>
          </w:p>
        </w:tc>
      </w:tr>
    </w:tbl>
    <w:p>
      <w:pPr>
        <w:snapToGrid/>
        <w:spacing w:line="240"/>
        <w:ind w:left="336"/>
        <w:rPr/>
      </w:pPr>
      <w:r>
        <w:rPr>
          <w:b/>
          <w:i w:val="false"/>
          <w:strike w:val="false"/>
          <w:color w:val="000000"/>
          <w:u w:val="none"/>
        </w:rPr>
        <w:t>核心优势：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土地更紧凑，建筑更高效</w:t>
      </w:r>
      <w:r>
        <w:rPr>
          <w:i w:val="false"/>
          <w:strike w:val="false"/>
          <w:color w:val="000000"/>
          <w:u w:val="none"/>
        </w:rPr>
        <w:t xml:space="preserve"> → 在 120㎡ 土地上提供 249㎡ 建筑面积，远高于同区竞品。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区域唯一</w:t>
      </w:r>
      <w:r>
        <w:rPr>
          <w:i w:val="false"/>
          <w:strike w:val="false"/>
          <w:color w:val="000000"/>
          <w:u w:val="none"/>
        </w:rPr>
        <w:t xml:space="preserve"> → Vermont South 区域内唯一实现高效率空间利用的三层联排产品。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舒适性更佳</w:t>
      </w:r>
      <w:r>
        <w:rPr>
          <w:i w:val="false"/>
          <w:strike w:val="false"/>
          <w:color w:val="000000"/>
          <w:u w:val="none"/>
        </w:rPr>
        <w:t xml:space="preserve"> → 避免 404 Burwood Highway 的拥挤感，同时比传统恋爱别墅更实用。</w:t>
      </w:r>
    </w:p>
    <w:p>
      <w:pPr>
        <w:pBdr>
          <w:bottom w:val="thick" w:color="000000" w:sz="8"/>
        </w:pBdr>
        <w:ind w:left="336"/>
        <w:rPr/>
      </w:pPr>
    </w:p>
    <w:p>
      <w:pPr>
        <w:pStyle w:val="axp4zf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二、产品定价方法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区域对标法（市場合理性）</w:t>
      </w:r>
    </w:p>
    <w:p>
      <w:pPr>
        <w:numPr>
          <w:ilvl w:val="1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选取 Vermont South 及 Wantina 在售或近期成交的三层联排项目进行价格对比。</w:t>
      </w:r>
    </w:p>
    <w:p>
      <w:pPr>
        <w:numPr>
          <w:ilvl w:val="1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结合产品差异（土地面积、户型功能、车位配置、品牌用料等），在合理区间内确定定价。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成本核算法（底线保障）</w:t>
      </w:r>
    </w:p>
    <w:p>
      <w:pPr>
        <w:numPr>
          <w:ilvl w:val="1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以项目总成本（拿地、建安、管理、销售等）为基础，叠加目标利润率，确定价格底线。</w:t>
      </w:r>
    </w:p>
    <w:p>
      <w:pPr>
        <w:numPr>
          <w:ilvl w:val="1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确保销售价格覆盖成本并实现既定毛利。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投资回报反算法（投资者视角）</w:t>
      </w:r>
    </w:p>
    <w:p>
      <w:pPr>
        <w:numPr>
          <w:ilvl w:val="1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从购房者角度出发，计算购置成本与未来潜在增值回报。</w:t>
      </w:r>
    </w:p>
    <w:p>
      <w:pPr>
        <w:numPr>
          <w:ilvl w:val="1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定位话术：</w:t>
      </w:r>
      <w:r>
        <w:rPr>
          <w:b/>
          <w:i w:val="false"/>
          <w:strike w:val="false"/>
          <w:color w:val="000000"/>
          <w:u w:val="none"/>
        </w:rPr>
        <w:t>“这不仅是一套房子，更是一份资产配置与长期回报。”</w:t>
      </w:r>
    </w:p>
    <w:p>
      <w:pPr>
        <w:pBdr/>
        <w:snapToGrid/>
        <w:spacing w:line="240"/>
        <w:ind w:left="336"/>
        <w:rPr>
          <w:i w:val="false"/>
          <w:strike w:val="false"/>
          <w:color w:val="000000"/>
          <w:u w:val="none"/>
        </w:rPr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动态调整原则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 我们的销售周期不只是半年，也可能是 8 个月、10 个月，甚至部分尾盘需要更长时间才能卖出。</w:t>
      </w:r>
    </w:p>
    <w:p>
      <w:pPr>
        <w:numPr/>
        <w:pBdr>
          <w:bottom/>
        </w:pBd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 在这个过程中，</w:t>
      </w:r>
      <w:r>
        <w:rPr>
          <w:i w:val="false"/>
          <w:strike w:val="false"/>
          <w:color w:val="000000"/>
          <w:u w:val="none"/>
        </w:rPr>
        <w:t>我们持续跟踪市场走势、利率环境和政府政策（如印花税减免），把外部环境的红利和压力及时反映到定价和销售策略上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我们必须</w:t>
      </w:r>
      <w:r>
        <w:rPr>
          <w:b/>
          <w:i w:val="false"/>
          <w:strike w:val="false"/>
          <w:color w:val="000000"/>
          <w:u w:val="none"/>
        </w:rPr>
        <w:t>实时跟随市场变化、区划速度和蓄客数据，动态调整价格</w:t>
      </w:r>
      <w:r>
        <w:rPr>
          <w:i w:val="false"/>
          <w:strike w:val="false"/>
          <w:color w:val="000000"/>
          <w:u w:val="none"/>
        </w:rPr>
        <w:t>。这意味着定价不是一次性定死，而是根据每一期的去化率、客户反馈和市场对比来做出灵活调整。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decimal"/>
      <w:lvlText w:val="%1."/>
      <w:pPr>
        <w:ind w:left="336"/>
      </w:pPr>
      <w:rPr/>
    </w:lvl>
    <w:lvl w:ilvl="1">
      <w:start w:val="1"/>
      <w:numFmt w:val="lowerLetter"/>
      <w:lvlText w:val="%2."/>
      <w:pPr>
        <w:ind w:left="336" w:leftChars="200" w:hanging="336"/>
      </w:pPr>
    </w:lvl>
    <w:lvl w:ilvl="6">
      <w:start w:val="1"/>
      <w:numFmt w:val="decimal"/>
      <w:lvlText w:val="%7."/>
      <w:pPr>
        <w:ind w:left="336" w:leftChars="1200" w:hanging="0"/>
      </w:pPr>
    </w:lvl>
    <w:lvl w:ilvl="8">
      <w:start w:val="1"/>
      <w:numFmt w:val="lowerRoman"/>
      <w:lvlText w:val="%9."/>
      <w:pPr>
        <w:ind w:left="336" w:leftChars="1600" w:hanging="336"/>
      </w:pPr>
    </w:lvl>
    <w:lvl w:ilvl="5">
      <w:start w:val="1"/>
      <w:numFmt w:val="lowerRoman"/>
      <w:lvlText w:val="%6."/>
      <w:pPr>
        <w:ind w:left="336" w:leftChars="1000" w:hanging="336"/>
      </w:pPr>
    </w:lvl>
    <w:lvl w:ilvl="4">
      <w:start w:val="1"/>
      <w:numFmt w:val="lowerLetter"/>
      <w:lvlText w:val="%5."/>
      <w:pPr>
        <w:ind w:left="336" w:leftChars="800" w:hanging="336"/>
      </w:pPr>
    </w:lvl>
    <w:lvl w:ilvl="2">
      <w:start w:val="1"/>
      <w:numFmt w:val="lowerRoman"/>
      <w:lvlText w:val="%3."/>
      <w:pPr>
        <w:ind w:left="336" w:leftChars="400" w:hanging="336"/>
      </w:pPr>
    </w:lvl>
    <w:lvl w:ilvl="7">
      <w:start w:val="1"/>
      <w:numFmt w:val="lowerLetter"/>
      <w:lvlText w:val="%8."/>
      <w:pPr>
        <w:ind w:left="336" w:leftChars="1400" w:hanging="336"/>
      </w:pPr>
    </w:lvl>
    <w:lvl w:ilvl="3">
      <w:start w:val="1"/>
      <w:numFmt w:val="decimal"/>
      <w:lvlText w:val="%4."/>
      <w:pPr>
        <w:ind w:left="336" w:leftChars="600" w:hanging="0"/>
      </w:pPr>
    </w:lvl>
  </w:abstractNum>
  <w:abstractNum w:abstractNumId="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</w:abstractNum>
  <w:abstractNum w:abstractNumId="5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6"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7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num w:numId="1">
    <w:abstractNumId w:val="5"/>
  </w:num>
  <w:num w:numId="3">
    <w:abstractNumId w:val="3"/>
  </w:num>
  <w:num w:numId="5">
    <w:abstractNumId w:val="1"/>
  </w:num>
  <w:num w:numId="2">
    <w:abstractNumId w:val="7"/>
  </w:num>
  <w:num w:numId="4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fwj4d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xp4zf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nvig4h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xjht7v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ablt93" w:default="true">
    <w:name w:val="Normal"/>
    <w:pPr>
      <w:widowControl w:val="false"/>
      <w:jc w:val="left"/>
    </w:pPr>
  </w:style>
  <w:style w:type="paragraph" w:styleId="13mc4e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z2yo04">
    <w:name w:val="Table Grid"/>
    <w:basedOn w:val="nvig4h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2026-08-17T11:59:33Z</dcterms:created>
  <dcterms:modified xsi:type="dcterms:W3CDTF">2026-08-17T11:59:33Z</dcterms:modified>
</cp:coreProperties>
</file>