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x7tjsm"/>
        <w:numPr/>
        <w:pBdr/>
        <w:snapToGrid/>
        <w:spacing w:line="240"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700项目销售计划（</w:t>
      </w:r>
      <w:r>
        <w:rPr>
          <w:b/>
          <w:i w:val="false"/>
          <w:strike w:val="false"/>
          <w:color w:val="000000"/>
          <w:u w:val="none"/>
        </w:rPr>
        <w:t>第二版</w:t>
      </w:r>
      <w:r>
        <w:rPr>
          <w:b/>
          <w:i w:val="false"/>
          <w:strike w:val="false"/>
          <w:color w:val="000000"/>
          <w:u w:val="none"/>
        </w:rPr>
        <w:t>）</w:t>
      </w:r>
    </w:p>
    <w:p>
      <w:pPr>
        <w:pStyle w:val="ablt93"/>
        <w:snapToGrid/>
        <w:spacing w:line="240"/>
        <w:ind w:left="0"/>
        <w:rPr/>
      </w:pPr>
    </w:p>
    <w:p>
      <w:pPr>
        <w:numPr/>
        <w:snapToGrid/>
        <w:spacing w:line="240"/>
        <w:rPr/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项目名称：暂定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G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o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l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f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v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i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e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w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（需要讨论决定）</w:t>
      </w:r>
    </w:p>
    <w:p>
      <w:pPr>
        <w:numPr/>
        <w:pBdr/>
        <w:snapToGrid/>
        <w:spacing w:line="240"/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产品规模：47套3层联排别墅</w:t>
      </w:r>
    </w:p>
    <w:p>
      <w:pPr>
        <w:numPr/>
        <w:pBdr/>
        <w:snapToGrid/>
        <w:spacing w:line="240"/>
        <w:ind/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目标客户群：参考附件中定稿的客户画像</w: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begin"/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instrText>HYPERLINK https://doc.weixin.qq.com/doc/w3_AVgAHAZzAAoSGkjqSbrBbQumh8FPx?scode=AEsAIwd_ACUkY00hIUAVgAHAZzAAo docLink \tdft Doc \tdfe 0 \tdfid d.1688854330547288.o_lw3.7523905492eN5 \tdlt inline \tdlf FromUploadFile \tdtf 0 \tdsub docLink \tdkey 9snf1i</w:instrTex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separate"/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t>客户画像：700项目目标客户</w: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end"/>
      </w:r>
    </w:p>
    <w:p>
      <w:pPr>
        <w:numPr/>
        <w:pBdr/>
        <w:snapToGrid/>
        <w:spacing w:line="240"/>
        <w:ind/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平均售价（初步预估）：12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1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万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（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参考附件中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销售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预估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价</w: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begin"/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instrText>HYPERLINK https://doc.weixin.qq.com/sheet/e3_AYoAWwb2AIUCNlF58poY8TeOa7FM3?scode=AEsAIwd_ACUpqyCRclAYoAWwb2AIU docLink \tdft Doc \tdfe 1 \tdfid d.1688854330547288.o_le3.7506359868PVL \tdlt inline \tdlf FromUploadFile \tdtf 0 \tdsub docLink \tdkey ks80gf</w:instrTex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separate"/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t>20250713销售价格预估</w:t>
      </w:r>
      <w:r>
        <w:rPr>
          <w:rStyle w:val="hagkj6"/>
          <w:rFonts w:ascii="DeepSeek-CJK-patch" w:hAnsi="DeepSeek-CJK-patch" w:eastAsia="DeepSeek-CJK-patch" w:cs="DeepSeek-CJK-patch"/>
          <w:b/>
          <w:i w:val="false"/>
          <w:strike w:val="false"/>
          <w:spacing w:val="0"/>
          <w:sz w:val="23"/>
        </w:rPr>
        <w:fldChar w:fldCharType="end"/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）</w:t>
      </w:r>
    </w:p>
    <w:p>
      <w:pPr>
        <w:numPr/>
        <w:snapToGrid/>
        <w:spacing w:line="240"/>
        <w:rPr/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预计交房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回款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时间：2028年Q1</w:t>
      </w:r>
    </w:p>
    <w:p>
      <w:pPr>
        <w:numPr/>
        <w:pBdr/>
        <w:snapToGrid/>
        <w:spacing w:line="240"/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核心目标：</w:t>
      </w:r>
    </w:p>
    <w:p>
      <w:pPr>
        <w:numPr/>
        <w:snapToGrid/>
        <w:spacing w:line="240"/>
        <w:rPr/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1.实现5600万以上销售额</w:t>
      </w:r>
    </w:p>
    <w:p>
      <w:pPr>
        <w:numPr/>
        <w:snapToGrid/>
        <w:spacing w:line="240"/>
        <w:rPr/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2.销售成本≤2.5%</w:t>
      </w:r>
    </w:p>
    <w:p>
      <w:pPr>
        <w:numPr/>
        <w:snapToGrid/>
        <w:spacing w:line="240"/>
        <w:rPr/>
      </w:pP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3.2026年3月上市，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2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0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2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6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年内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完成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总体</w:t>
      </w:r>
      <w:r>
        <w:rPr>
          <w:rFonts w:ascii="DeepSeek-CJK-patch" w:hAnsi="DeepSeek-CJK-patch" w:eastAsia="DeepSeek-CJK-patch" w:cs="DeepSeek-CJK-patch"/>
          <w:b/>
          <w:i w:val="false"/>
          <w:strike w:val="false"/>
          <w:color w:val="404040"/>
          <w:spacing w:val="0"/>
          <w:sz w:val="23"/>
          <w:u w:val="none"/>
        </w:rPr>
        <w:t>销售</w:t>
      </w:r>
    </w:p>
    <w:p>
      <w:pPr>
        <w:numPr/>
        <w:snapToGrid/>
        <w:spacing w:line="240"/>
        <w:ind w:left="0"/>
        <w:rPr/>
      </w:pPr>
    </w:p>
    <w:p>
      <w:pPr>
        <w:pStyle w:val="lecih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背景说明</w:t>
      </w:r>
    </w:p>
    <w:p>
      <w:pPr>
        <w:snapToGrid/>
        <w:spacing w:line="240"/>
        <w:ind/>
        <w:rPr>
          <w:b w:val="false"/>
        </w:rPr>
      </w:pPr>
      <w:r>
        <w:rPr>
          <w:i w:val="false"/>
          <w:strike w:val="false"/>
          <w:color w:val="000000"/>
          <w:u w:val="none"/>
        </w:rPr>
        <w:t>维州政府将实施阶段性</w:t>
      </w:r>
      <w:r>
        <w:rPr>
          <w:b w:val="false"/>
          <w:i w:val="false"/>
          <w:strike w:val="false"/>
          <w:color w:val="000000"/>
          <w:u w:val="none"/>
        </w:rPr>
        <w:t>印花税减免政策，预计每套房产平均可节省约 $60,000 税费。我们将紧抓这一难得的政策红利窗口期，作为项目最终销售阶段的核心转化推动力。</w:t>
      </w:r>
    </w:p>
    <w:p>
      <w:pP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本销售计划是基于我们在 2025 年底前顺利取得政府规划批文 的前提下展开的整体销售部署，目的是尽可能充分利用印花税减免政策带来的利好。我们深刻理解，房地产市场处于动态变化之中，因此这份销售计划虽然是当前的第二版，但后续会随着市场环境、政策调整及实际销售情况进行 持续跟踪、阶段性更新和细化完善。</w:t>
      </w:r>
    </w:p>
    <w:p>
      <w:p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u w:val="none"/>
        </w:rPr>
        <w:t>同时，对于项目整体定价策略，我们也会建立 实时市场追踪机制，</w:t>
      </w:r>
      <w:r>
        <w:rPr>
          <w:i w:val="false"/>
          <w:strike w:val="false"/>
          <w:color w:val="000000"/>
          <w:u w:val="none"/>
        </w:rPr>
        <w:t>结合竞品价格、客户反馈和成交数据，不断优化和调整销售价格，确保在竞争中保持项目的高性价比和良好的市场接受度。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总体原则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效率优先</w:t>
      </w:r>
      <w:r>
        <w:rPr>
          <w:i w:val="false"/>
          <w:strike w:val="false"/>
          <w:color w:val="000000"/>
          <w:u w:val="none"/>
        </w:rPr>
        <w:t>：</w:t>
      </w:r>
      <w:r>
        <w:rPr>
          <w:b w:val="false"/>
          <w:i w:val="false"/>
          <w:strike w:val="false"/>
          <w:color w:val="000000"/>
          <w:u w:val="none"/>
        </w:rPr>
        <w:t>以销售速度优先为目标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在保证</w:t>
      </w:r>
      <w:r>
        <w:rPr>
          <w:b w:val="false"/>
          <w:i w:val="false"/>
          <w:strike w:val="false"/>
          <w:color w:val="000000"/>
          <w:u w:val="none"/>
        </w:rPr>
        <w:t>完成</w:t>
      </w:r>
      <w:r>
        <w:rPr>
          <w:b w:val="false"/>
          <w:i w:val="false"/>
          <w:strike w:val="false"/>
          <w:color w:val="000000"/>
          <w:u w:val="none"/>
        </w:rPr>
        <w:t>销售</w:t>
      </w:r>
      <w:r>
        <w:rPr>
          <w:b w:val="false"/>
          <w:i w:val="false"/>
          <w:strike w:val="false"/>
          <w:color w:val="000000"/>
          <w:u w:val="none"/>
        </w:rPr>
        <w:t>速度</w:t>
      </w:r>
      <w:r>
        <w:rPr>
          <w:b w:val="false"/>
          <w:i w:val="false"/>
          <w:strike w:val="false"/>
          <w:color w:val="000000"/>
          <w:u w:val="none"/>
        </w:rPr>
        <w:t>和</w:t>
      </w:r>
      <w:r>
        <w:rPr>
          <w:b w:val="false"/>
          <w:i w:val="false"/>
          <w:strike w:val="false"/>
          <w:color w:val="000000"/>
          <w:u w:val="none"/>
        </w:rPr>
        <w:t>价格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前提下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把</w:t>
      </w:r>
      <w:r>
        <w:rPr>
          <w:b w:val="false"/>
          <w:i w:val="false"/>
          <w:strike w:val="false"/>
          <w:color w:val="000000"/>
          <w:u w:val="none"/>
        </w:rPr>
        <w:t>政策</w:t>
      </w:r>
      <w:r>
        <w:rPr>
          <w:b w:val="false"/>
          <w:i w:val="false"/>
          <w:strike w:val="false"/>
          <w:color w:val="000000"/>
          <w:u w:val="none"/>
        </w:rPr>
        <w:t>红利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5</w:t>
      </w:r>
      <w:r>
        <w:rPr>
          <w:b w:val="false"/>
          <w:i w:val="false"/>
          <w:strike w:val="false"/>
          <w:color w:val="000000"/>
          <w:u w:val="none"/>
        </w:rPr>
        <w:t>0</w:t>
      </w:r>
      <w:r>
        <w:rPr>
          <w:b w:val="false"/>
          <w:i w:val="false"/>
          <w:strike w:val="false"/>
          <w:color w:val="000000"/>
          <w:u w:val="none"/>
        </w:rPr>
        <w:t>%</w:t>
      </w:r>
      <w:r>
        <w:rPr>
          <w:b w:val="false"/>
          <w:i w:val="false"/>
          <w:strike w:val="false"/>
          <w:color w:val="000000"/>
          <w:u w:val="none"/>
        </w:rPr>
        <w:t>的优惠幅度让利给客户，</w:t>
      </w:r>
      <w:r>
        <w:rPr>
          <w:i w:val="false"/>
          <w:strike w:val="false"/>
          <w:color w:val="000000"/>
          <w:u w:val="none"/>
        </w:rPr>
        <w:t>确保买家真实受益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换取更快的成交节奏。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压缩非必要开支</w:t>
      </w:r>
      <w:r>
        <w:rPr>
          <w:i w:val="false"/>
          <w:strike w:val="false"/>
          <w:color w:val="000000"/>
          <w:u w:val="none"/>
        </w:rPr>
        <w:t>：削减中介费与渠道推广等高成本环节。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</w:p>
    <w:p>
      <w:pPr>
        <w:pBdr>
          <w:bottom w:val="thick" w:color="000000" w:sz="8"/>
        </w:pBdr>
        <w:ind w:left="0"/>
        <w:rPr/>
      </w:pPr>
    </w:p>
    <w:p>
      <w:pPr>
        <w:pStyle w:val="gliaph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销售费用预算计划（初步）</w:t>
      </w:r>
    </w:p>
    <w:tbl>
      <w:tblPr>
        <w:tblStyle w:val="df7hfj"/>
        <w:tblLayout w:type="fixed"/>
      </w:tblPr>
      <w:tblGrid>
        <w:gridCol w:w="870"/>
        <w:gridCol w:w="885"/>
        <w:gridCol w:w="855"/>
        <w:gridCol w:w="3495"/>
        <w:gridCol w:w="1860"/>
      </w:tblGrid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类别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费用估算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占比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内容说明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使用阶段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线下广告投放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$30,000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14.3%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项目立牌、周边车站、商场灯箱、电梯贴、LED灯箱，覆盖 Box Hill Central、The Glen、Doncaster 等购物中心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2026年1月–1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月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线上广告投放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$120,000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57.1%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Domain &amp; RealEstate.com.au 红标/绿标推广，Google SEM关键词广告，Facebook/Instagram精准引流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2026年2月–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月持续投放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小红书 / 微信朋友圈广告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$12,000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5.7%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针对 Box Hill / Glen Waverley 精准投放视频内容、软文种草与社交联动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2026年3月起，按需投放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项目视觉与物料设计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$16,000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7.6%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效果图、户型图、模型、折页、展架、销售文案等全套视觉物料设计制作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2026年1月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完成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活动执行与客户接待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$10,000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4.8%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开盘仪式、开工活动、客户分享会、现场茶歇布置及小礼品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2026年3月、7月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客户激励与转介绍奖励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$8,000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3.8%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老带新奖励、社交分享小礼物、成交晒单激励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2026年3月–1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</w:t>
            </w: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月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销售支持系统搭建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$2,000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1.0%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官网登记系统、短信推送平台、CRM简易工具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2026年1月搭建，全年使用</w:t>
            </w:r>
          </w:p>
        </w:tc>
      </w:tr>
      <w:tr>
        <w:trPr/>
        <w:tc>
          <w:tcPr>
            <w:tcW w:w="87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其他机动预算</w:t>
            </w:r>
          </w:p>
        </w:tc>
        <w:tc>
          <w:tcPr>
            <w:tcW w:w="8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$20,000</w:t>
            </w:r>
          </w:p>
        </w:tc>
        <w:tc>
          <w:tcPr>
            <w:tcW w:w="85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9.5%</w:t>
            </w:r>
          </w:p>
        </w:tc>
        <w:tc>
          <w:tcPr>
            <w:tcW w:w="34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二次广告补位、物料增补、应急活动支出等预留流动资金</w:t>
            </w:r>
          </w:p>
        </w:tc>
        <w:tc>
          <w:tcPr>
            <w:tcW w:w="186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Microsoft YaHei" w:hAnsi="Microsoft YaHei" w:eastAsia="Microsoft YaHei" w:cs="Microsoft YaHei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全年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推广</w:t>
      </w:r>
      <w:r>
        <w:rPr>
          <w:i w:val="false"/>
          <w:strike w:val="false"/>
          <w:color w:val="000000"/>
          <w:u w:val="none"/>
        </w:rPr>
        <w:t>总预算：</w:t>
      </w:r>
      <w:r>
        <w:rPr>
          <w:b/>
          <w:i w:val="false"/>
          <w:strike w:val="false"/>
          <w:color w:val="000000"/>
          <w:u w:val="none"/>
        </w:rPr>
        <w:t>$210,000 AUD</w:t>
      </w:r>
    </w:p>
    <w:p>
      <w:pPr>
        <w:pBdr>
          <w:bottom w:val="thick" w:color="000000" w:sz="8"/>
        </w:pBdr>
        <w:ind w:left="0"/>
        <w:rPr/>
      </w:pPr>
    </w:p>
    <w:p>
      <w:pPr>
        <w:pStyle w:val="gliaph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重点说明：最大投入——线上广告平台（占比 57.1%）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线上广告作为</w:t>
      </w:r>
      <w:r>
        <w:rPr>
          <w:b/>
          <w:i w:val="false"/>
          <w:strike w:val="false"/>
          <w:color w:val="000000"/>
          <w:u w:val="none"/>
        </w:rPr>
        <w:t>最核心的客户获取渠道</w:t>
      </w:r>
      <w:r>
        <w:rPr>
          <w:i w:val="false"/>
          <w:strike w:val="false"/>
          <w:color w:val="000000"/>
          <w:u w:val="none"/>
        </w:rPr>
        <w:t>，尤其是：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Domain &amp; RealEstate.com.au</w:t>
      </w:r>
      <w:r>
        <w:rPr>
          <w:i w:val="false"/>
          <w:strike w:val="false"/>
          <w:color w:val="000000"/>
          <w:u w:val="none"/>
        </w:rPr>
        <w:t xml:space="preserve"> 是澳洲本地买家搜索房产时的主入口平台，红标/绿标位可大幅提升项目曝光与点击转化；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Google SEM（搜索广告）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少了</w:t>
      </w:r>
      <w:r>
        <w:rPr>
          <w:i w:val="false"/>
          <w:strike w:val="false"/>
          <w:color w:val="000000"/>
          <w:u w:val="none"/>
        </w:rPr>
        <w:t>投放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能高效锁定有“买房意向”的关键词人群；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Facebook / Instagram</w:t>
      </w:r>
      <w:r>
        <w:rPr>
          <w:i w:val="false"/>
          <w:strike w:val="false"/>
          <w:color w:val="000000"/>
          <w:u w:val="none"/>
        </w:rPr>
        <w:t xml:space="preserve"> 则以视觉化方式实现日常持续渗透，精准覆盖墨尔本东区华人社区与教育型家庭。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这一部分投入虽然占比高，但</w:t>
      </w:r>
      <w:r>
        <w:rPr>
          <w:b/>
          <w:i w:val="false"/>
          <w:strike w:val="false"/>
          <w:color w:val="000000"/>
          <w:u w:val="none"/>
        </w:rPr>
        <w:t>转化效率强、覆盖精准、可追踪调整</w:t>
      </w:r>
      <w:r>
        <w:rPr>
          <w:i w:val="false"/>
          <w:strike w:val="false"/>
          <w:color w:val="000000"/>
          <w:u w:val="none"/>
        </w:rPr>
        <w:t>，是当前墨尔本住宅类项目中公认的回报最高的核心获客通道。</w:t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snapToGrid/>
        <w:spacing w:line="240"/>
        <w:ind w:left="0"/>
        <w:rPr/>
      </w:pPr>
    </w:p>
    <w:p>
      <w:pPr>
        <w:pStyle w:val="8v119b"/>
        <w:rPr/>
      </w:pPr>
      <w:r>
        <w:rPr/>
        <w:t>营销</w:t>
      </w:r>
      <w:r>
        <w:rPr/>
        <w:t>策略</w:t>
      </w:r>
    </w:p>
    <w:p>
      <w:pPr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我们</w:t>
      </w:r>
      <w:r>
        <w:rPr>
          <w:i w:val="false"/>
          <w:strike w:val="false"/>
          <w:color w:val="000000"/>
          <w:u w:val="none"/>
        </w:rPr>
        <w:t>除了</w:t>
      </w:r>
      <w:r>
        <w:rPr>
          <w:i w:val="false"/>
          <w:strike w:val="false"/>
          <w:color w:val="000000"/>
          <w:u w:val="none"/>
        </w:rPr>
        <w:t>采取</w:t>
      </w:r>
      <w:r>
        <w:rPr>
          <w:i w:val="false"/>
          <w:strike w:val="false"/>
          <w:color w:val="000000"/>
          <w:u w:val="none"/>
        </w:rPr>
        <w:t>常规</w:t>
      </w:r>
      <w:r>
        <w:rPr>
          <w:i w:val="false"/>
          <w:strike w:val="false"/>
          <w:color w:val="000000"/>
          <w:u w:val="none"/>
        </w:rPr>
        <w:t>的投放</w:t>
      </w:r>
      <w:r>
        <w:rPr>
          <w:i w:val="false"/>
          <w:strike w:val="false"/>
          <w:color w:val="000000"/>
          <w:u w:val="none"/>
        </w:rPr>
        <w:t>线上</w:t>
      </w:r>
      <w:r>
        <w:rPr>
          <w:i w:val="false"/>
          <w:strike w:val="false"/>
          <w:color w:val="000000"/>
          <w:u w:val="none"/>
        </w:rPr>
        <w:t>线下</w:t>
      </w:r>
      <w:r>
        <w:rPr>
          <w:i w:val="false"/>
          <w:strike w:val="false"/>
          <w:color w:val="000000"/>
          <w:u w:val="none"/>
        </w:rPr>
        <w:t>广告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形式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通过</w:t>
      </w:r>
      <w:r>
        <w:rPr>
          <w:i w:val="false"/>
          <w:strike w:val="false"/>
          <w:color w:val="000000"/>
          <w:u w:val="none"/>
        </w:rPr>
        <w:t>以下</w:t>
      </w:r>
      <w:r>
        <w:rPr>
          <w:i w:val="false"/>
          <w:strike w:val="false"/>
          <w:color w:val="000000"/>
          <w:u w:val="none"/>
        </w:rPr>
        <w:t>销售策略，提升转化率、客单价和客户满意度，同时降低获客成本。</w:t>
      </w:r>
    </w:p>
    <w:p>
      <w:pPr>
        <w:pBdr>
          <w:bottom w:val="thick" w:color="000000" w:sz="8"/>
        </w:pBdr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1. 升级选项式销售（类“卖车”模式）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核心做法：设定一个基准价，附带标准配置，并在合同中列出多个可升级选项，客户可自由选择。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示例选项：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● 智能马桶</w:t>
      </w:r>
    </w:p>
    <w:p>
      <w:pPr>
        <w:numPr/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● </w:t>
      </w:r>
      <w:r>
        <w:rPr>
          <w:i w:val="false"/>
          <w:strike w:val="false"/>
          <w:color w:val="000000"/>
          <w:u w:val="none"/>
        </w:rPr>
        <w:t>地毯</w:t>
      </w:r>
      <w:r>
        <w:rPr>
          <w:i w:val="false"/>
          <w:strike w:val="false"/>
          <w:color w:val="000000"/>
          <w:u w:val="none"/>
        </w:rPr>
        <w:t>升级</w:t>
      </w:r>
      <w:r>
        <w:rPr>
          <w:i w:val="false"/>
          <w:strike w:val="false"/>
          <w:color w:val="000000"/>
          <w:u w:val="none"/>
        </w:rPr>
        <w:t>地板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厨电从 Bosch 升级为 Miele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升级全屋智能系统</w:t>
      </w: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摄像头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智能</w:t>
      </w:r>
      <w:r>
        <w:rPr>
          <w:i w:val="false"/>
          <w:strike w:val="false"/>
          <w:color w:val="000000"/>
          <w:u w:val="none"/>
        </w:rPr>
        <w:t>开关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锁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营销方式：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推出组合包提升吸引力（如“高端厨房包”）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提供限时免费升级，制造优惠感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配置标准化、施工简单，提升利润空间</w:t>
      </w:r>
    </w:p>
    <w:p>
      <w:pPr>
        <w:pBdr>
          <w:bottom w:val="thick" w:color="000000" w:sz="8"/>
        </w:pBdr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2. 蓄客机制：$1,000 抵 $5,000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活动规则：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每期</w:t>
      </w:r>
      <w:r>
        <w:rPr>
          <w:i w:val="false"/>
          <w:strike w:val="false"/>
          <w:color w:val="000000"/>
          <w:u w:val="none"/>
        </w:rPr>
        <w:t>开盘</w:t>
      </w:r>
      <w:r>
        <w:rPr>
          <w:i w:val="false"/>
          <w:strike w:val="false"/>
          <w:color w:val="000000"/>
          <w:u w:val="none"/>
        </w:rPr>
        <w:t>前</w:t>
      </w:r>
      <w:r>
        <w:rPr>
          <w:i w:val="false"/>
          <w:strike w:val="false"/>
          <w:color w:val="000000"/>
          <w:u w:val="none"/>
        </w:rPr>
        <w:t>提前公布一个价格区间（如 $1.15M – $1.25M）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 xml:space="preserve"> 客户在蓄水期间，</w:t>
      </w:r>
      <w:r>
        <w:rPr>
          <w:i w:val="false"/>
          <w:strike w:val="false"/>
          <w:color w:val="000000"/>
          <w:u w:val="none"/>
        </w:rPr>
        <w:t>通过</w:t>
      </w:r>
      <w:r>
        <w:rPr>
          <w:i w:val="false"/>
          <w:strike w:val="false"/>
          <w:color w:val="000000"/>
          <w:u w:val="none"/>
        </w:rPr>
        <w:t>我们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官网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或者</w:t>
      </w:r>
      <w:r>
        <w:rPr>
          <w:i w:val="false"/>
          <w:strike w:val="false"/>
          <w:color w:val="000000"/>
          <w:u w:val="none"/>
        </w:rPr>
        <w:t>销售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付 $1,000 意向金，可锁定下一期的早鸟房源选择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成交时可抵 $5,000 房款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● 可随时全额退款，无风险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客户享有优先</w:t>
      </w:r>
      <w:r>
        <w:rPr>
          <w:i w:val="false"/>
          <w:strike w:val="false"/>
          <w:color w:val="000000"/>
          <w:u w:val="none"/>
        </w:rPr>
        <w:t>开盘</w:t>
      </w:r>
      <w:r>
        <w:rPr>
          <w:i w:val="false"/>
          <w:strike w:val="false"/>
          <w:color w:val="000000"/>
          <w:u w:val="none"/>
        </w:rPr>
        <w:t>通知、</w:t>
      </w:r>
      <w:r>
        <w:rPr>
          <w:i w:val="false"/>
          <w:strike w:val="false"/>
          <w:color w:val="000000"/>
          <w:u w:val="none"/>
        </w:rPr>
        <w:t>预约</w:t>
      </w:r>
      <w:r>
        <w:rPr>
          <w:i w:val="false"/>
          <w:strike w:val="false"/>
          <w:color w:val="000000"/>
          <w:u w:val="none"/>
        </w:rPr>
        <w:t>与选房资格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效果：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通过设置 </w:t>
      </w:r>
      <w:r>
        <w:rPr>
          <w:b/>
          <w:i w:val="false"/>
          <w:strike w:val="false"/>
          <w:color w:val="000000"/>
          <w:u w:val="none"/>
        </w:rPr>
        <w:t>低门槛意向金</w:t>
      </w:r>
      <w:r>
        <w:rPr>
          <w:i w:val="false"/>
          <w:strike w:val="false"/>
          <w:color w:val="000000"/>
          <w:u w:val="none"/>
        </w:rPr>
        <w:t>（$1,000），给客户明确的价值回报（成交时抵 $5,000），能在开盘前把“泛兴趣客户”筛选成“真实意向客户”，从而带来以下效果：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提前锁定客户池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提前获得一批明确有购买意愿的客户名单，便于后续定向营销和精准跟进。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客户提前绑定心理预期，减少流失到竞品项目的可能。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提升开盘转化率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这些付了意向金的客户心理上已经对项目有一定投入，更愿意到访和成交。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由于他们享有“优先选房权”，开盘当天成交速度更快，容易营造“热销”氛围。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灵活调节放盘节奏和价格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通过意向客户的数量、类型和反馈，能提前判断市场对某个价格区间的接受度。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如果蓄客人数远超预期，可以提高定价或加快放盘节奏；如果不足，则可以调整优惠、增加配置升级，提前修正销售策略。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客户心理安全感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随时可退的条款，降低了客户的心理障碍，鼓励更多客户先付意向金锁定资格。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让客户感觉到“没有风险，先占个名额”，从而形成蓄水池。</w:t>
      </w:r>
    </w:p>
    <w:p>
      <w:pPr>
        <w:pBdr>
          <w:bottom w:val="thick" w:color="000000" w:sz="8"/>
        </w:pBdr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3. 老带新推荐奖励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操作方式：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开工时或定期举办客户活动，邀请已签约买家参与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鼓励客户推荐亲友一起买房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成交后，老客户与新客户各减 $5,000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好处：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形成“熟人社区”，增强归属感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新客户信任度更高，成交更快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扩大口碑传播，降低获客成本</w:t>
      </w:r>
    </w:p>
    <w:p>
      <w:pPr>
        <w:pBdr>
          <w:bottom w:val="thick" w:color="000000" w:sz="8"/>
        </w:pBdr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4. 优质客户激励计划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执行方式：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针对部分在社交平台拥有粉丝的客户，提供专属礼物或升级权益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鼓励他们通过短视频、图文、vlog 等方式记录购房过程与入住体验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内容可覆盖看房、签约、设计、交房等阶段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激励形式：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提供小家电、购物卡、配置升级等礼遇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目标效果：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建立真实客户故事，增强品牌可信度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通过社交渠道触达新潜在客户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● 带动项目关注度与裂变传播</w:t>
      </w:r>
    </w:p>
    <w:p>
      <w:pPr>
        <w:pBdr/>
        <w:snapToGrid/>
        <w:spacing w:line="240"/>
        <w:rPr>
          <w:i w:val="false"/>
          <w:strike w:val="false"/>
          <w:color w:val="000000"/>
          <w:u w:val="none"/>
        </w:rPr>
      </w:pPr>
    </w:p>
    <w:p>
      <w:pPr>
        <w:pBdr>
          <w:bottom/>
        </w:pBdr>
        <w:snapToGrid/>
        <w:spacing w:line="240"/>
        <w:ind w:left="0"/>
        <w:rPr/>
      </w:pPr>
    </w:p>
    <w:p>
      <w:pPr>
        <w:pStyle w:val="gliaph"/>
        <w:rPr/>
      </w:pPr>
      <w:r>
        <w:rPr/>
        <w:t>销售时间节点</w:t>
      </w:r>
    </w:p>
    <w:p>
      <w:pPr>
        <w:pBdr>
          <w:bottom w:val="thick" w:color="000000" w:sz="8"/>
        </w:pBdr>
        <w:rPr/>
      </w:pPr>
    </w:p>
    <w:p>
      <w:pPr>
        <w:pStyle w:val="gliaph"/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蓄水池计划（2026年1月–2月）｜广告主力集中在2月</w:t>
      </w:r>
    </w:p>
    <w:p>
      <w:pPr>
        <w:snapToGrid/>
        <w:spacing w:line="240"/>
        <w:rPr/>
      </w:pPr>
    </w:p>
    <w:p>
      <w:pPr>
        <w:pStyle w:val="x7tjsm"/>
        <w:snapToGrid/>
        <w:spacing w:line="240"/>
        <w:rPr/>
      </w:pPr>
    </w:p>
    <w:p>
      <w:pPr>
        <w:pStyle w:val="m10hpe"/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蓄客目标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项目总套数：47套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蓄水目标：</w:t>
      </w:r>
      <w:r>
        <w:rPr>
          <w:b/>
          <w:i w:val="false"/>
          <w:strike w:val="false"/>
          <w:color w:val="000000"/>
          <w:u w:val="none"/>
        </w:rPr>
        <w:t>1:10 蓄客比例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最低蓄客要求：</w:t>
      </w:r>
      <w:r>
        <w:rPr>
          <w:b/>
          <w:i w:val="false"/>
          <w:strike w:val="false"/>
          <w:color w:val="000000"/>
          <w:u w:val="none"/>
        </w:rPr>
        <w:t>120组有效客户</w:t>
      </w:r>
      <w:r>
        <w:rPr>
          <w:i w:val="false"/>
          <w:strike w:val="false"/>
          <w:color w:val="000000"/>
          <w:u w:val="none"/>
        </w:rPr>
        <w:t>（完成注册或提交购房意向者）</w:t>
      </w:r>
    </w:p>
    <w:p>
      <w:pPr>
        <w:pBdr>
          <w:bottom w:val="thick" w:color="000000" w:sz="8"/>
        </w:pBdr>
        <w:rPr/>
      </w:pPr>
    </w:p>
    <w:p>
      <w:pPr>
        <w:pStyle w:val="hqwmq1"/>
        <w:snapToGrid/>
        <w:spacing w:line="240"/>
        <w:rPr/>
      </w:pPr>
    </w:p>
    <w:p>
      <w:pPr>
        <w:pStyle w:val="9yrw72"/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阶段安排与核心动作</w:t>
      </w:r>
    </w:p>
    <w:p>
      <w:pPr>
        <w:pStyle w:val="jwyyl4"/>
        <w:snapToGrid/>
        <w:spacing w:line="240"/>
        <w:rPr/>
      </w:pPr>
    </w:p>
    <w:p>
      <w:pPr>
        <w:pStyle w:val="rksc3y"/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1月：准备期（系统建设 + 物料制作）</w:t>
      </w:r>
    </w:p>
    <w:tbl>
      <w:tblPr>
        <w:tblStyle w:val="df7hfj"/>
        <w:tblLayout w:type="fixed"/>
      </w:tblPr>
      <w:tblGrid>
        <w:gridCol w:w="1171"/>
        <w:gridCol w:w="2328"/>
        <w:gridCol w:w="1522"/>
        <w:gridCol w:w="4002"/>
      </w:tblGrid>
      <w:tr>
        <w:trPr/>
        <w:tc>
          <w:tcPr>
            <w:tcW w:w="117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时间</w:t>
            </w:r>
          </w:p>
        </w:tc>
        <w:tc>
          <w:tcPr>
            <w:tcW w:w="232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内容</w:t>
            </w:r>
          </w:p>
        </w:tc>
        <w:tc>
          <w:tcPr>
            <w:tcW w:w="152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目标</w:t>
            </w:r>
          </w:p>
        </w:tc>
        <w:tc>
          <w:tcPr>
            <w:tcW w:w="400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jc w:val="center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17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1月上旬</w:t>
            </w:r>
          </w:p>
        </w:tc>
        <w:tc>
          <w:tcPr>
            <w:tcW w:w="232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完成项目官网与登记系统搭建</w:t>
            </w:r>
          </w:p>
        </w:tc>
        <w:tc>
          <w:tcPr>
            <w:tcW w:w="152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接收客户信息，建立数据池</w:t>
            </w:r>
          </w:p>
        </w:tc>
        <w:tc>
          <w:tcPr>
            <w:tcW w:w="400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注册页简洁直达，收集电话+邮箱+户型偏好</w:t>
            </w:r>
          </w:p>
        </w:tc>
      </w:tr>
      <w:tr>
        <w:trPr/>
        <w:tc>
          <w:tcPr>
            <w:tcW w:w="117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1月中旬</w:t>
            </w:r>
          </w:p>
        </w:tc>
        <w:tc>
          <w:tcPr>
            <w:tcW w:w="232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制作所有平面广告与线上广告素材</w:t>
            </w:r>
          </w:p>
        </w:tc>
        <w:tc>
          <w:tcPr>
            <w:tcW w:w="152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视觉统一，传播专业形象</w:t>
            </w:r>
          </w:p>
        </w:tc>
        <w:tc>
          <w:tcPr>
            <w:tcW w:w="400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效果图、人文景观图、Logo、口号等</w:t>
            </w:r>
          </w:p>
        </w:tc>
      </w:tr>
      <w:tr>
        <w:trPr/>
        <w:tc>
          <w:tcPr>
            <w:tcW w:w="117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1月下旬</w:t>
            </w:r>
          </w:p>
        </w:tc>
        <w:tc>
          <w:tcPr>
            <w:tcW w:w="232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确定广告平台投放计划，谈判5大购物中心广告位</w:t>
            </w:r>
          </w:p>
        </w:tc>
        <w:tc>
          <w:tcPr>
            <w:tcW w:w="152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锁定黄金展示点</w:t>
            </w:r>
          </w:p>
        </w:tc>
        <w:tc>
          <w:tcPr>
            <w:tcW w:w="400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>
            <w:pPr>
              <w:snapToGrid/>
              <w:spacing w:before="0" w:after="0" w:line="240"/>
              <w:rPr/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可与Center Management合作投放7–14天短期位</w:t>
            </w:r>
          </w:p>
        </w:tc>
      </w:tr>
    </w:tbl>
    <w:p>
      <w:pPr>
        <w:snapToGrid/>
        <w:spacing w:line="240"/>
        <w:rPr/>
      </w:pPr>
    </w:p>
    <w:p>
      <w:pPr>
        <w:pBdr>
          <w:bottom w:val="thick" w:color="000000" w:sz="8"/>
        </w:pBdr>
        <w:rPr/>
      </w:pPr>
    </w:p>
    <w:p>
      <w:pPr>
        <w:pStyle w:val="z05eax"/>
        <w:snapToGrid/>
        <w:spacing w:line="240"/>
        <w:rPr/>
      </w:pPr>
    </w:p>
    <w:p>
      <w:pPr>
        <w:pStyle w:val="fyv82k"/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2月开始：主攻期（线下+线上全面集中爆发）</w:t>
      </w:r>
    </w:p>
    <w:p>
      <w:pPr>
        <w:snapToGrid/>
        <w:spacing w:line="240"/>
        <w:rPr/>
      </w:pPr>
    </w:p>
    <w:p>
      <w:pPr>
        <w:pStyle w:val="rksc3y"/>
        <w:rPr/>
      </w:pPr>
      <w:r>
        <w:rPr/>
        <w:t>线下广告</w:t>
      </w:r>
      <w:r>
        <w:rPr/>
        <w:t>：</w:t>
      </w:r>
    </w:p>
    <w:p>
      <w:pPr>
        <w:pStyle w:val="n8lxls"/>
        <w:snapToGrid/>
        <w:spacing w:line="240"/>
        <w:rPr/>
      </w:pPr>
      <w:r>
        <w:rPr>
          <w:rFonts w:ascii="Microsoft YaHei" w:hAnsi="Microsoft YaHei" w:eastAsia="Microsoft YaHei" w:cs="Microsoft YaHei"/>
          <w:b w:val="false"/>
          <w:i w:val="false"/>
          <w:strike w:val="false"/>
          <w:color w:val="000000"/>
          <w:spacing w:val="0"/>
          <w:sz w:val="24"/>
          <w:u w:val="none"/>
        </w:rPr>
        <w:t>项目立牌、周边车站、商场灯箱、电梯贴、LED灯箱，覆盖 Box Hill Central、The Glen、Doncaster 等购物中心</w:t>
      </w:r>
    </w:p>
    <w:p>
      <w:pPr>
        <w:snapToGrid/>
        <w:spacing w:line="240"/>
        <w:rPr/>
      </w:pPr>
    </w:p>
    <w:p>
      <w:pPr>
        <w:pStyle w:val="rksc3y"/>
        <w:rPr/>
      </w:pPr>
      <w:r>
        <w:rPr/>
        <w:t>线上广告：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Domain / RealEstate.com.au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作为澳洲主流的网络房产平台，2月起将在这两个平台上发布项目广告，展示项目效果图，并引导用户点击链接跳转至官网进行注册。优先选择红标或绿标推广位置，确保在搜索结果中获得最大曝光。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Facebook / Instagram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通过精准投放，设定地理定向和目标人群画像，重点覆盖墨尔本东区的华人家庭与首次置业者。广告形式包括图文和短视频，引导用户注册并预约开盘信息。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Google SEM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围绕关键词如“</w:t>
      </w:r>
      <w:r>
        <w:rPr>
          <w:i w:val="false"/>
          <w:strike w:val="false"/>
          <w:color w:val="000000"/>
          <w:u w:val="none"/>
        </w:rPr>
        <w:t>社区</w:t>
      </w:r>
      <w:r>
        <w:rPr>
          <w:i w:val="false"/>
          <w:strike w:val="false"/>
          <w:color w:val="000000"/>
          <w:u w:val="none"/>
        </w:rPr>
        <w:t>型</w:t>
      </w:r>
      <w:r>
        <w:rPr>
          <w:i w:val="false"/>
          <w:strike w:val="false"/>
          <w:color w:val="000000"/>
          <w:u w:val="none"/>
        </w:rPr>
        <w:t>住宅</w:t>
      </w:r>
      <w:r>
        <w:rPr>
          <w:i w:val="false"/>
          <w:strike w:val="false"/>
          <w:color w:val="000000"/>
          <w:u w:val="none"/>
        </w:rPr>
        <w:t>”、“首置买家”、“开盘价”等进行搜索广告与展示广告的组合投放，提前锁定有购房搜索行为的潜在客户，提升项目曝光量和注册转化率。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华人平台（今日澳洲、地产天下）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在本地主要华人资讯与房产媒体上发布软文推介，结合项目亮点、开盘时间、优惠信息等，并配合Banner广告引流到项目官网。文章中嵌入二维码，引导微信端用户直接登记。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微信朋友圈/小红书广告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通过微信/小红书的区域精准投放系统，将广告精准投放至 Box Hill、Glen Waverley 等项目主要目标客户聚集区。广告内容以视频或动态图片形式呈现，并引导用户参与登记或抽奖活动，提升转化率。</w:t>
      </w:r>
    </w:p>
    <w:p>
      <w:pPr>
        <w:pBdr>
          <w:bottom w:val="thick" w:color="000000" w:sz="8"/>
        </w:pBdr>
        <w:rPr/>
      </w:pPr>
    </w:p>
    <w:p>
      <w:pPr>
        <w:pStyle w:val="jwyyl4"/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⬛ 第一期：2026年3月 – 4月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数量</w:t>
      </w:r>
      <w:r>
        <w:rPr>
          <w:i w:val="false"/>
          <w:strike w:val="false"/>
          <w:color w:val="000000"/>
          <w:u w:val="none"/>
        </w:rPr>
        <w:t>：约12套</w:t>
      </w:r>
    </w:p>
    <w:p>
      <w:pPr>
        <w:snapToGrid/>
        <w:spacing w:line="240"/>
        <w:rPr/>
      </w:pPr>
    </w:p>
    <w:p>
      <w:pPr>
        <w:pBdr>
          <w:bottom/>
        </w:pBdr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目标与策略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jc w:val="left"/>
        <w:rPr/>
      </w:pPr>
      <w:r>
        <w:rPr/>
        <w:t>选3月的一个周末做项目开盘仪式，邀请亲朋好友热场，邀请所有蓄水池客户来访；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快速成交10-12套（开盘首两周完成），树立“热销”市场预期；</w:t>
      </w:r>
    </w:p>
    <w:p>
      <w:pPr>
        <w:numPr>
          <w:ilvl w:val="0"/>
          <w:numId w:val="5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对早期登记客户给予</w:t>
      </w:r>
      <w:r>
        <w:rPr>
          <w:b/>
          <w:i w:val="false"/>
          <w:strike w:val="false"/>
          <w:color w:val="000000"/>
          <w:u w:val="none"/>
        </w:rPr>
        <w:t>定向优惠/优先选房权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jc w:val="left"/>
        <w:rPr/>
      </w:pPr>
      <w:r>
        <w:rPr/>
        <w:t>明确价格为开盘最低价，</w:t>
      </w:r>
      <w:r>
        <w:rPr>
          <w:i w:val="false"/>
          <w:strike w:val="false"/>
          <w:color w:val="000000"/>
          <w:u w:val="none"/>
        </w:rPr>
        <w:t>制造“即将售罄，</w:t>
      </w:r>
      <w:r>
        <w:rPr/>
        <w:t>第二期即将涨价;</w:t>
      </w:r>
      <w:r>
        <w:rPr>
          <w:i w:val="false"/>
          <w:strike w:val="false"/>
          <w:color w:val="000000"/>
          <w:u w:val="none"/>
        </w:rPr>
        <w:t>”氛围，增强后续购买者紧迫感。</w:t>
      </w:r>
    </w:p>
    <w:p>
      <w:pPr>
        <w:numPr>
          <w:ilvl w:val="0"/>
          <w:numId w:val="5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渠道投入集中，利用真实成交案例做二轮引流；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推动</w:t>
      </w:r>
      <w:r>
        <w:rPr>
          <w:b/>
          <w:i w:val="false"/>
          <w:strike w:val="false"/>
          <w:color w:val="000000"/>
          <w:u w:val="none"/>
        </w:rPr>
        <w:t>朋友圈/小红书转发激励</w:t>
      </w:r>
      <w:r>
        <w:rPr>
          <w:i w:val="false"/>
          <w:strike w:val="false"/>
          <w:color w:val="000000"/>
          <w:u w:val="none"/>
        </w:rPr>
        <w:t>，形成社交传播带动来访。</w:t>
      </w:r>
    </w:p>
    <w:p>
      <w:pPr>
        <w:pBdr>
          <w:bottom w:val="thick" w:color="000000" w:sz="8"/>
        </w:pBdr>
        <w:rPr/>
      </w:pPr>
    </w:p>
    <w:p>
      <w:pPr>
        <w:pStyle w:val="jwyyl4"/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⬛ 第二期：2026年4月 – 6月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数量</w:t>
      </w:r>
      <w:r>
        <w:rPr>
          <w:i w:val="false"/>
          <w:strike w:val="false"/>
          <w:color w:val="000000"/>
          <w:u w:val="none"/>
        </w:rPr>
        <w:t>：约12套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目标与策略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延续首期开盘热度，目标完成当期80%-90%的去化；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价格在不同房型上</w:t>
      </w:r>
      <w:r>
        <w:rPr>
          <w:b/>
          <w:i w:val="false"/>
          <w:strike w:val="false"/>
          <w:color w:val="000000"/>
          <w:u w:val="none"/>
        </w:rPr>
        <w:t>保持一致，相同房型上小幅微调</w:t>
      </w:r>
      <w:r>
        <w:rPr>
          <w:i w:val="false"/>
          <w:strike w:val="false"/>
          <w:color w:val="000000"/>
          <w:u w:val="none"/>
        </w:rPr>
        <w:t>，吸引犹豫客户，给到原来第一期价格成交的优惠；（价格策略会在之后的会议中具体讨论）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持续线上广告投放，加入更多案场活动/开放日，吸引本地家庭实地到访；</w:t>
      </w:r>
    </w:p>
    <w:p>
      <w:pPr>
        <w:numPr>
          <w:ilvl w:val="0"/>
          <w:numId w:val="6"/>
        </w:numPr>
        <w:pBdr>
          <w:bottom w:val="thick" w:color="000000" w:sz="8"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同时通过升级配置或礼品，鼓励成交客户发朋友圈/小红书。</w:t>
      </w:r>
    </w:p>
    <w:p>
      <w:pPr>
        <w:pBdr>
          <w:bottom w:val="thick" w:color="000000" w:sz="8"/>
        </w:pBdr>
        <w:rPr/>
      </w:pPr>
    </w:p>
    <w:p>
      <w:pPr>
        <w:pStyle w:val="x7tjsm"/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⬛ 第三期｜2026年7月–8月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数量：</w:t>
      </w:r>
      <w:r>
        <w:rPr>
          <w:i w:val="false"/>
          <w:strike w:val="false"/>
          <w:color w:val="000000"/>
          <w:u w:val="none"/>
        </w:rPr>
        <w:t xml:space="preserve"> 约12套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策略重点：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保持售价稳定，不急于涨价，逐步减少早期优惠，进入“正常市场价格”区间；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针对部分优质户型或朝向试探性小幅提价，测试市场反应；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举办</w:t>
      </w:r>
      <w:r>
        <w:rPr>
          <w:b/>
          <w:i w:val="false"/>
          <w:strike w:val="false"/>
          <w:color w:val="000000"/>
          <w:u w:val="none"/>
        </w:rPr>
        <w:t>开工仪式活动</w:t>
      </w:r>
      <w:r>
        <w:rPr>
          <w:i w:val="false"/>
          <w:strike w:val="false"/>
          <w:color w:val="000000"/>
          <w:u w:val="none"/>
        </w:rPr>
        <w:t>（7月），邀请</w:t>
      </w:r>
      <w:r>
        <w:rPr>
          <w:b/>
          <w:i w:val="false"/>
          <w:strike w:val="false"/>
          <w:color w:val="000000"/>
          <w:u w:val="none"/>
        </w:rPr>
        <w:t>第一、二期成交客户到场</w:t>
      </w:r>
      <w:r>
        <w:rPr>
          <w:i w:val="false"/>
          <w:strike w:val="false"/>
          <w:color w:val="000000"/>
          <w:u w:val="none"/>
        </w:rPr>
        <w:t>，增强客户信任感与口碑；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同步启动“老带新”活动：已成交客户带新客户成功购房，</w:t>
      </w:r>
      <w:r>
        <w:rPr>
          <w:b/>
          <w:i w:val="false"/>
          <w:strike w:val="false"/>
          <w:color w:val="000000"/>
          <w:u w:val="none"/>
        </w:rPr>
        <w:t>双方各减$5,000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pBdr>
          <w:bottom w:val="thick" w:color="000000" w:sz="8"/>
        </w:pBdr>
        <w:rPr/>
      </w:pPr>
    </w:p>
    <w:p>
      <w:pPr>
        <w:pStyle w:val="x7tjsm"/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⬛ 第四期｜2026年9月–1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月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数量：</w:t>
      </w:r>
      <w:r>
        <w:rPr>
          <w:i w:val="false"/>
          <w:strike w:val="false"/>
          <w:color w:val="000000"/>
          <w:u w:val="none"/>
        </w:rPr>
        <w:t xml:space="preserve"> 约11套</w:t>
      </w:r>
    </w:p>
    <w:p>
      <w:pPr>
        <w:snapToGrid/>
        <w:spacing w:line="240"/>
        <w:rPr/>
      </w:pPr>
    </w:p>
    <w:p>
      <w:p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策略重点：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利用“最后一批”“即将</w:t>
      </w:r>
      <w:r>
        <w:rPr>
          <w:i w:val="false"/>
          <w:strike w:val="false"/>
          <w:color w:val="000000"/>
          <w:u w:val="none"/>
        </w:rPr>
        <w:t>售罄</w:t>
      </w:r>
      <w:r>
        <w:rPr>
          <w:i w:val="false"/>
          <w:strike w:val="false"/>
          <w:color w:val="000000"/>
          <w:u w:val="none"/>
        </w:rPr>
        <w:t>”等节点，制造紧迫感；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精选库存户型进行包装，强化“稀缺尾盘”定位；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控制议价空间，保护前期客户价格体系；</w:t>
      </w:r>
    </w:p>
    <w:p>
      <w:pPr>
        <w:numPr>
          <w:ilvl w:val="0"/>
          <w:numId w:val="8"/>
        </w:numPr>
        <w:pBdr>
          <w:bottom/>
        </w:pBd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配合施工进度，传递“买了就快住”的交付价值；</w:t>
      </w:r>
    </w:p>
    <w:p>
      <w:pPr>
        <w:pStyle w:val="gliaph"/>
        <w:pBdr/>
        <w:snapToGrid/>
        <w:spacing w:line="240"/>
        <w:rPr>
          <w:i w:val="false"/>
          <w:strike w:val="false"/>
          <w:color w:val="000000"/>
          <w:u w:val="none"/>
        </w:rPr>
      </w:pPr>
    </w:p>
    <w:p>
      <w:pPr>
        <w:pStyle w:val="gliaph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数据追踪与复盘机制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为确保销售过程高效、可控，并能在实际执行中快速迭代优化，项目将建立一套**“月度报告 + 周度监控 + 阶段复盘”三层级追踪机制**，实现对关键销售数据、客户反馈、广告效果等多维度的全流程掌控。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1. 周度追踪机制（销售经理主导）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频率</w:t>
      </w:r>
      <w:r>
        <w:rPr>
          <w:i w:val="false"/>
          <w:strike w:val="false"/>
          <w:color w:val="000000"/>
          <w:u w:val="none"/>
        </w:rPr>
        <w:t>：每周一提交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目的</w:t>
      </w:r>
      <w:r>
        <w:rPr>
          <w:i w:val="false"/>
          <w:strike w:val="false"/>
          <w:color w:val="000000"/>
          <w:u w:val="none"/>
        </w:rPr>
        <w:t>：快速识别异常波动、反应市场变化、指导下周优化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追踪指标：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到访客户数量（含首次与复访）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成交数量（当周签约客户数）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意向客户分级数量（热/温/冷）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各广告平台投放数据（点击量、注册转化率）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客户主要异议汇总（价格、配置、地段等）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2. 月度销售总结（由销售总监提交至管理层/股东）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频率</w:t>
      </w:r>
      <w:r>
        <w:rPr>
          <w:i w:val="false"/>
          <w:strike w:val="false"/>
          <w:color w:val="000000"/>
          <w:u w:val="none"/>
        </w:rPr>
        <w:t>：每月5日前完成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目的</w:t>
      </w:r>
      <w:r>
        <w:rPr>
          <w:i w:val="false"/>
          <w:strike w:val="false"/>
          <w:color w:val="000000"/>
          <w:u w:val="none"/>
        </w:rPr>
        <w:t>：对上月营销效果、销售节奏、预算执行等进行阶段性回顾与调整建议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报告内容：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月度去化数据（含总签约套数与单价）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广告投放效果汇总与投放ROI（注册转化率、单次转化成本）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客户成交结构（年龄层、置业目的、自住/投资占比）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各销售人员绩效对比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成本执行进度（与预算对比）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下阶段销售动作与风险预警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3. 阶段性复盘（按销售阶段划分，四期复盘）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频率</w:t>
      </w:r>
      <w:r>
        <w:rPr>
          <w:i w:val="false"/>
          <w:strike w:val="false"/>
          <w:color w:val="000000"/>
          <w:u w:val="none"/>
        </w:rPr>
        <w:t>：每期销售结束后7日内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目的</w:t>
      </w:r>
      <w:r>
        <w:rPr>
          <w:i w:val="false"/>
          <w:strike w:val="false"/>
          <w:color w:val="000000"/>
          <w:u w:val="none"/>
        </w:rPr>
        <w:t>：梳理每阶段得失，为下一期策略微调提供依据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分析内容：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阶段蓄水完成率 vs 实际成交率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报价区间接受度评估（客户异议数量与反馈标签）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样板房、座谈会、活动对转化影响分析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销售话术表现（从客户满意度与签约效率评估）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项目价格与区域竞品对比分析（是否需适度微调）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成交客户口碑传播情况（老带新成功转化率）</w:t>
      </w:r>
    </w:p>
    <w:p>
      <w:pPr>
        <w:pBdr>
          <w:bottom w:val="thick" w:color="000000" w:sz="8"/>
        </w:pBdr>
        <w:rPr/>
      </w:pPr>
    </w:p>
    <w:p>
      <w:pPr>
        <w:pStyle w:val="gliaph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风险预判与应对策略</w:t>
      </w:r>
    </w:p>
    <w:p>
      <w:pPr>
        <w:pStyle w:val="gliaph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重点风险判断与应对策略说明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在当前市场环境下，700项目的销售节奏和客户转化路径仍面临一定的不确定性。以下是销售团队在筹备期所识别的</w:t>
      </w:r>
      <w:r>
        <w:rPr>
          <w:i w:val="false"/>
          <w:strike w:val="false"/>
          <w:color w:val="000000"/>
          <w:u w:val="none"/>
        </w:rPr>
        <w:t>五</w:t>
      </w:r>
      <w:r>
        <w:rPr>
          <w:i w:val="false"/>
          <w:strike w:val="false"/>
          <w:color w:val="000000"/>
          <w:u w:val="none"/>
        </w:rPr>
        <w:t>类重点风险，以及我们针对性制定的应对策略。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风险一：蓄水期蓄客效果不达预期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风险描述：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在开盘前的1–2个月，如果意向客户登记数量未达预期（目标为1:10，即120组注册客户），将直接影响第一阶段的开盘热度与成交基础。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应对策略：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多渠道并行获取流量，包括：线下商圈广告、线上红标房产平台、社交媒体+微信社群种子投放。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设置“$1,000 抵 $5,000”意向金机制作为核心吸附，降低参与门槛，提升转化率。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动态监测投放效果，若关键指标（注册量、页面访问、表单提交率）低于警戒线，立即追加线上广告预算或调整内容策略。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同步开展“朋友圈抽奖”、“预约看房赢礼品”等低成本裂变活动，扩大蓄水面。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风险二：来访量充足但成交转化偏低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风险描述：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可能出现来访客户数量达标，但实际签约数量不及预期，造成销售效率下降、市场热度无法延续。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预判说明：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目前销售转化目标采用</w:t>
      </w:r>
      <w:r>
        <w:rPr>
          <w:b/>
          <w:i w:val="false"/>
          <w:strike w:val="false"/>
          <w:color w:val="000000"/>
          <w:u w:val="none"/>
        </w:rPr>
        <w:t>保守的1:10模型</w:t>
      </w:r>
      <w:r>
        <w:rPr>
          <w:i w:val="false"/>
          <w:strike w:val="false"/>
          <w:color w:val="000000"/>
          <w:u w:val="none"/>
        </w:rPr>
        <w:t>（10组客户预计成交1组），该比例在当前东区市场上属相对理性判断。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应对策略：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强化到访后的“客户路径设计”：每组到访客户均由销售完成意向等级分级，并制定专属后续跟进计划。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样板房+销售中心的服务节奏标准化，如客户签到-讲解-参观-价格方案-互动反馈的完整闭环。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强化CRM工具使用，实现三轮触达（看房后1天内、3天内、7天内），防止客户“看完就沉默”。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风险三：客户喜欢产品，但对价格接受度不足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风险描述：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客户对项目整体户型、配置、学区和风格认可，但在面对报价时表现犹豫，迟迟未能进入价格谈判或签约阶段。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应对策略：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第一阶段报价策略以“最优诚意价”入市，保持定价克制，并在初期成交案例中强化“机会窗口”印象。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销售人员加强话术训练，重点围绕“土地价值+区域房价对比+建材配置溢价”构建价格逻辑框架；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客户犹豫时，及时引入“配置升级赠送”“限时锁房资格”等工具，降低客户的决策焦虑；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针对有购房经验或投资倾向的客户，销售团队提供“未来回报”模型计算，协助客户做出理性判断。</w:t>
      </w:r>
    </w:p>
    <w:p>
      <w:pPr>
        <w:pBdr>
          <w:bottom w:val="thick" w:color="000000" w:sz="8"/>
        </w:pBdr>
        <w:ind w:left="0"/>
        <w:rPr/>
      </w:pP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风险四：客户整体满意但迟迟不决策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风险描述：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客户看房体验良好，反馈积极，但未能在短时间内下定决心，进入反复对比、拖延成交的状态。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应对策略：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设置定向限时优惠机制（如：“开盘三天内成交可免费升级一项配置”）形成轻度时间压力；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对犹豫客户由销售经理主导跟进，适时调整谈判内容，加入“锁房48小时保护”“定金可退”等软杠杆；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鼓励成交客户在朋友圈或社交平台进行晒单，带动潜在客户的“从众心理”；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适当公布阶段性成交数据或客户回访视频，强化“热销在进行”信号，营造错过可惜的情绪氛围。</w:t>
      </w:r>
    </w:p>
    <w:p>
      <w:pPr>
        <w:pStyle w:val="9xmnl5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风险五：自销计划执行受限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风险描述：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当前销售节奏设计为100%依靠自建团队完成全周期销售（即“全自销”模式），以提升客户体验、压缩中介成本、强化品牌一致性。但若在实际推进中出现阶段性去化率严重低于预期，可能需快速调整策略，避免销售延迟影响现金流与项目整体节奏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应对策略：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在每一期【销售阶段性复盘】中，设定**“去化率警戒线”**，若连续两周成交率明显低于转化模型（如低于1:10），销售团队将提交风险提示；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销售总监将在当期总结报告中提出</w:t>
      </w:r>
      <w:r>
        <w:rPr>
          <w:b/>
          <w:i w:val="false"/>
          <w:strike w:val="false"/>
          <w:color w:val="000000"/>
          <w:u w:val="none"/>
        </w:rPr>
        <w:t>是否启动渠道协同建议</w:t>
      </w:r>
      <w:r>
        <w:rPr>
          <w:i w:val="false"/>
          <w:strike w:val="false"/>
          <w:color w:val="000000"/>
          <w:u w:val="none"/>
        </w:rPr>
        <w:t>，并组织管理层召开专项会议讨论；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若启动调整，将优先选择熟悉墨尔本本地市场、口碑良好、客户资源匹配度高的中介/渠道进行合作；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合作形式灵活，可采用“补位式”放盘（如开放部分户型、指定渠道专属）以保持自销控制力；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同时</w:t>
      </w:r>
      <w:r>
        <w:rPr>
          <w:i w:val="false"/>
          <w:strike w:val="false"/>
          <w:color w:val="000000"/>
          <w:u w:val="none"/>
        </w:rPr>
        <w:t>控制</w:t>
      </w:r>
      <w:r>
        <w:rPr>
          <w:i w:val="false"/>
          <w:strike w:val="false"/>
          <w:color w:val="000000"/>
          <w:u w:val="none"/>
        </w:rPr>
        <w:t>成本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保留自主定价权，确保项目调性、客户体验与利润空间不被削弱。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</w:abstractNum>
  <w:abstractNum w:abstractNumId="3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</w:abstractNum>
  <w:abstractNum w:abstractNumId="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</w:abstractNum>
  <w:abstractNum w:abstractNumId="7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</w:abstractNum>
  <w:abstractNum w:abstractNumId="1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</w:abstractNum>
  <w:abstractNum w:abstractNumId="1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</w:abstractNum>
  <w:abstractNum w:abstractNumId="1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</w:abstractNum>
  <w:abstractNum w:abstractNumId="15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</w:abstractNum>
  <w:abstractNum w:abstractNumId="1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</w:abstractNum>
  <w:num w:numId="14">
    <w:abstractNumId w:val="4"/>
  </w:num>
  <w:num w:numId="1">
    <w:abstractNumId w:val="7"/>
  </w:num>
  <w:num w:numId="7">
    <w:abstractNumId w:val="15"/>
  </w:num>
  <w:num w:numId="9">
    <w:abstractNumId w:val="14"/>
  </w:num>
  <w:num w:numId="2">
    <w:abstractNumId w:val="10"/>
  </w:num>
  <w:num w:numId="8">
    <w:abstractNumId w:val="11"/>
  </w:num>
  <w:num w:numId="10">
    <w:abstractNumId w:val="8"/>
  </w:num>
  <w:num w:numId="16">
    <w:abstractNumId w:val="9"/>
  </w:num>
  <w:num w:numId="6">
    <w:abstractNumId w:val="2"/>
  </w:num>
  <w:num w:numId="4">
    <w:abstractNumId w:val="12"/>
  </w:num>
  <w:num w:numId="11">
    <w:abstractNumId w:val="1"/>
  </w:num>
  <w:num w:numId="15">
    <w:abstractNumId w:val="16"/>
  </w:num>
  <w:num w:numId="13">
    <w:abstractNumId w:val="6"/>
  </w:num>
  <w:num w:numId="3">
    <w:abstractNumId w:val="3"/>
  </w:num>
  <w:num w:numId="12">
    <w:abstractNumId w:val="13"/>
  </w:num>
  <w:num w:numId="5">
    <w:abstractNumId w:val="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fyv82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lurhya" w:default="true">
    <w:name w:val="Default Paragraph Font"/>
    <w:basedOn w:val=""/>
    <w:next w:val=""/>
    <w:uiPriority w:val="1"/>
    <w:semiHidden/>
    <w:unhideWhenUsed/>
  </w:style>
  <w:style w:type="paragraph" w:styleId="jwyyl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x7tjs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4fai6">
    <w:name w:val="Table Grid"/>
    <w:basedOn w:val="kugog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xmnl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ksc3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9yrw7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v119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aa7a0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05ea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m10hp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8lxl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df7hfj">
    <w:name w:val="Table Grid"/>
    <w:basedOn w:val="aa7a0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dmfcg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kwu0d7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l52ml2">
    <w:name w:val="Table Grid"/>
    <w:basedOn w:val="kwu0d7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hqwmq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lecih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liap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kugog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agkj6">
    <w:name w:val="Hyperlink"/>
    <w:basedOn w:val="lurhya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2026-08-17T12:00:30Z</dcterms:created>
  <dcterms:modified xsi:type="dcterms:W3CDTF">2026-08-17T12:00:30Z</dcterms:modified>
</cp:coreProperties>
</file>