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СЦЕНАРИЙ ИСПОЛЬЗОВАНИЯ СОЗДАННОЙ БАЗЫ ДАННЫХ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персоналом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сотрудниках музея в привязке к подразделениям и залам (офисам), в которых они работают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посетителями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посетителях в привязке к их билетам и отзывам о посещении музея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контрагентами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контрагентах в привязке к конкретным экспонатам и договорам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экспонатами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об экспонатах в привязке к автору, теме и подтеме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выставками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выставках в привязке к экспонатам, реставрантам и хранилищам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музейными помещениями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музейных помещениях в привязке к выставкам, расписанию, маршруту, регионам и происшествиям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хранилищами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хранилищах в привязке к стеллажам и полкам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расписанием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расписании в привязке к событиям и праздникам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маршрутами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маршрутах в привязке к фото-, аудио-, видеоматериалам и технологиям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Управление регионами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Пользователь может запрашивать и редактировать информацию о регионах в привязке к статусам, рейтингам и проверкам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