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900"/>
      </w:pPr>
      <w:r>
        <w:drawing>
          <wp:inline>
            <wp:extent cx="1600200" cy="142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4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200" w:after="120"/>
      </w:pPr>
      <w:r>
        <w:t>COMPORTAMIENTO DEL SISTEMA</w:t>
      </w:r>
    </w:p>
    <w:p>
      <w:r>
        <w:rPr>
          <w:rFonts w:ascii="Arial" w:hAnsi="Arial"/>
          <w:sz w:val="36"/>
        </w:rPr>
        <w:t>Registro de Solicitud de Inventario</w:t>
      </w:r>
    </w:p>
    <w:p>
      <w:pPr>
        <w:spacing w:before="5040" w:after="0"/>
      </w:pPr>
      <w:r>
        <w:rPr>
          <w:rFonts w:ascii="Arial" w:hAnsi="Arial"/>
          <w:b/>
          <w:sz w:val="24"/>
        </w:rPr>
        <w:t>01/10/2026</w:t>
      </w:r>
    </w:p>
    <w:p>
      <w:r>
        <w:rPr>
          <w:rFonts w:ascii="Arial" w:hAnsi="Arial"/>
          <w:sz w:val="24"/>
        </w:rPr>
        <w:t>Version 0.1</w:t>
      </w:r>
    </w:p>
    <w:p>
      <w:pPr>
        <w:sectPr>
          <w:headerReference r:id="rId7" w:type="default"/>
          <w:footerReference r:id="rId8" w:type="default"/>
          <w:type w:val="nextPage"/>
          <w:pgSz w:h="15840" w:w="12240"/>
          <w:pgMar w:bottom="1417" w:top="1417" w:left="1417" w:right="1417" w:header="720" w:footer="720"/>
        </w:sectPr>
      </w:pPr>
    </w:p>
    <w:p>
      <w:pPr>
        <w:spacing w:before="560" w:after="180"/>
        <w:pBdr>
          <w:bottom w:val="single" w:sz="6" w:color="B8B8B8"/>
        </w:pBdr>
      </w:pPr>
      <w:r>
        <w:rPr>
          <w:rFonts w:ascii="Arial" w:hAnsi="Arial"/>
          <w:b/>
          <w:sz w:val="28"/>
        </w:rPr>
        <w:t>CONTENIDO</w:t>
      </w:r>
    </w:p>
    <w:p>
      <w:pPr>
        <w:tabs>
          <w:tab w:pos="8640" w:val="right"/>
        </w:tabs>
        <w:spacing w:after="40"/>
        <w:ind w:left="0"/>
      </w:pPr>
      <w:r>
        <w:rPr>
          <w:rFonts w:ascii="Arial" w:hAnsi="Arial"/>
          <w:b/>
          <w:sz w:val="20"/>
        </w:rPr>
        <w:t>CÓMO FUNCIONA</w:t>
      </w:r>
      <w:r>
        <w:tab/>
        <w:t>3</w:t>
      </w:r>
    </w:p>
    <w:p>
      <w:pPr>
        <w:tabs>
          <w:tab w:pos="8640" w:val="right"/>
        </w:tabs>
        <w:spacing w:after="40"/>
        <w:ind w:left="0"/>
      </w:pPr>
      <w:r>
        <w:rPr>
          <w:rFonts w:ascii="Arial" w:hAnsi="Arial"/>
          <w:b/>
          <w:sz w:val="20"/>
        </w:rPr>
        <w:t>ACTORES</w:t>
      </w:r>
      <w:r>
        <w:tab/>
        <w:t>3</w:t>
      </w:r>
    </w:p>
    <w:p>
      <w:pPr>
        <w:tabs>
          <w:tab w:pos="8640" w:val="right"/>
        </w:tabs>
        <w:spacing w:after="40"/>
        <w:ind w:left="0"/>
      </w:pPr>
      <w:r>
        <w:rPr>
          <w:rFonts w:ascii="Arial" w:hAnsi="Arial"/>
          <w:b/>
          <w:sz w:val="20"/>
        </w:rPr>
        <w:t>GLOSARIO</w:t>
      </w:r>
      <w:r>
        <w:tab/>
        <w:t>3</w:t>
      </w:r>
    </w:p>
    <w:p>
      <w:pPr>
        <w:tabs>
          <w:tab w:pos="8640" w:val="right"/>
        </w:tabs>
        <w:spacing w:after="40"/>
        <w:ind w:left="0"/>
      </w:pPr>
      <w:r>
        <w:rPr>
          <w:rFonts w:ascii="Arial" w:hAnsi="Arial"/>
          <w:b/>
          <w:sz w:val="20"/>
        </w:rPr>
        <w:t>CÓMO LEER LOS DIAGRAMAS</w:t>
      </w:r>
      <w:r>
        <w:tab/>
        <w:t>4</w:t>
      </w:r>
    </w:p>
    <w:p>
      <w:pPr>
        <w:tabs>
          <w:tab w:pos="8640" w:val="right"/>
        </w:tabs>
        <w:spacing w:after="40"/>
        <w:ind w:left="0"/>
      </w:pPr>
      <w:r>
        <w:rPr>
          <w:rFonts w:ascii="Arial" w:hAnsi="Arial"/>
          <w:b/>
          <w:sz w:val="20"/>
        </w:rPr>
        <w:t>PROCESOS</w:t>
      </w:r>
      <w:r>
        <w:tab/>
        <w:t>5</w:t>
      </w:r>
    </w:p>
    <w:p>
      <w:pPr>
        <w:tabs>
          <w:tab w:pos="8640" w:val="right"/>
        </w:tabs>
        <w:spacing w:after="40"/>
        <w:ind w:left="288"/>
      </w:pPr>
      <w:r>
        <w:rPr>
          <w:rFonts w:ascii="Arial" w:hAnsi="Arial"/>
          <w:b w:val="0"/>
          <w:sz w:val="20"/>
        </w:rPr>
        <w:t>Proceso 1 — Préstamo</w:t>
      </w:r>
      <w:r>
        <w:tab/>
        <w:t>5</w:t>
      </w:r>
    </w:p>
    <w:p>
      <w:pPr>
        <w:tabs>
          <w:tab w:pos="8640" w:val="right"/>
        </w:tabs>
        <w:spacing w:after="40"/>
        <w:ind w:left="288"/>
      </w:pPr>
      <w:r>
        <w:rPr>
          <w:rFonts w:ascii="Arial" w:hAnsi="Arial"/>
          <w:b w:val="0"/>
          <w:sz w:val="20"/>
        </w:rPr>
        <w:t>Proceso 2 — Devolución</w:t>
      </w:r>
      <w:r>
        <w:tab/>
        <w:t>7</w:t>
      </w:r>
    </w:p>
    <w:p>
      <w:pPr>
        <w:tabs>
          <w:tab w:pos="8640" w:val="right"/>
        </w:tabs>
        <w:spacing w:after="40"/>
        <w:ind w:left="288"/>
      </w:pPr>
      <w:r>
        <w:rPr>
          <w:rFonts w:ascii="Arial" w:hAnsi="Arial"/>
          <w:b w:val="0"/>
          <w:sz w:val="20"/>
        </w:rPr>
        <w:t>Proceso 3 — Merma</w:t>
      </w:r>
      <w:r>
        <w:tab/>
        <w:t>9</w:t>
      </w:r>
    </w:p>
    <w:p>
      <w:pPr>
        <w:tabs>
          <w:tab w:pos="8640" w:val="right"/>
        </w:tabs>
        <w:spacing w:after="40"/>
        <w:ind w:left="288"/>
      </w:pPr>
      <w:r>
        <w:rPr>
          <w:rFonts w:ascii="Arial" w:hAnsi="Arial"/>
          <w:b w:val="0"/>
          <w:sz w:val="20"/>
        </w:rPr>
        <w:t>Proceso 4 — Corrección, consulta y configuración</w:t>
      </w:r>
      <w:r>
        <w:tab/>
        <w:t>11</w:t>
      </w:r>
    </w:p>
    <w:p>
      <w:pPr>
        <w:sectPr>
          <w:footerReference w:type="default" r:id="rId10"/>
          <w:pgSz w:h="15840" w:w="12240"/>
          <w:pgMar w:bottom="1417" w:top="1417" w:left="1417" w:right="1417" w:header="720" w:footer="720"/>
        </w:sectPr>
      </w:pPr>
    </w:p>
    <w:p>
      <w:pPr>
        <w:pStyle w:val="Heading1"/>
        <w:pBdr>
          <w:bottom w:val="single" w:sz="6" w:color="B8B8B8"/>
        </w:pBdr>
      </w:pPr>
      <w:r>
        <w:t>CÓMO FUNCIONA</w:t>
      </w:r>
    </w:p>
    <w:p>
      <w:r>
        <w:t>Se entra por Transacciones &gt; Gestion de Movimientos &gt; Solicitudes de Inventario. Cada solicitud es un préstamo, una devolución o una merma, y pasa por dos pasos: primero se guarda con Guardar Solicitud, y queda Pendiente de Procesar sin mover inventario; después se procesa con el botón de su tipo, y el sistema valida el stock y genera el movimiento de inventario. Mientras está Pendiente de Procesar se puede corregir o anular; una vez procesada ya no se edita y queda como registro.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4C9"/>
          <w:left w:val="single" w:sz="4" w:color="BFC4C9"/>
          <w:bottom w:val="single" w:sz="4" w:color="BFC4C9"/>
          <w:right w:val="single" w:sz="4" w:color="BFC4C9"/>
          <w:insideH w:val="single" w:sz="4" w:color="BFC4C9"/>
          <w:insideV w:val="single" w:sz="4" w:color="BFC4C9"/>
        </w:tblBorders>
      </w:tblPr>
      <w:tblGrid>
        <w:gridCol w:w="2069"/>
        <w:gridCol w:w="3668"/>
        <w:gridCol w:w="3668"/>
      </w:tblGrid>
      <w:tr>
        <w:trPr>
          <w:cantSplit/>
          <w:tblHeader w:val="true"/>
        </w:trPr>
        <w:tc>
          <w:tcPr>
            <w:tcW w:type="dxa" w:w="2069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3668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Qué significa</w:t>
            </w:r>
          </w:p>
        </w:tc>
        <w:tc>
          <w:tcPr>
            <w:tcW w:type="dxa" w:w="3668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Qué se puede hacer</w:t>
            </w:r>
          </w:p>
        </w:tc>
      </w:tr>
      <w:tr>
        <w:trPr>
          <w:cantSplit/>
        </w:trPr>
        <w:tc>
          <w:tcPr>
            <w:tcW w:type="dxa" w:w="206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8"/>
              </w:rPr>
              <w:t>Pendiente de Procesar</w:t>
            </w:r>
          </w:p>
        </w:tc>
        <w:tc>
          <w:tcPr>
            <w:tcW w:type="dxa" w:w="366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La solicitud está guardada y todavía no movió inventario</w:t>
            </w:r>
          </w:p>
        </w:tc>
        <w:tc>
          <w:tcPr>
            <w:tcW w:type="dxa" w:w="366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Editar, Anular Movimiento, procesar e Imprimir Comprobante</w:t>
            </w:r>
          </w:p>
        </w:tc>
      </w:tr>
      <w:tr>
        <w:trPr>
          <w:cantSplit/>
        </w:trPr>
        <w:tc>
          <w:tcPr>
            <w:tcW w:type="dxa" w:w="206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8"/>
              </w:rPr>
              <w:t>Pendiente de Devolucion</w:t>
            </w:r>
          </w:p>
        </w:tc>
        <w:tc>
          <w:tcPr>
            <w:tcW w:type="dxa" w:w="3668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Préstamo procesado: el material está en la bodega de préstamos</w:t>
            </w:r>
          </w:p>
        </w:tc>
        <w:tc>
          <w:tcPr>
            <w:tcW w:type="dxa" w:w="3668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Registrar devoluciones e imprimir</w:t>
            </w:r>
          </w:p>
        </w:tc>
      </w:tr>
      <w:tr>
        <w:trPr>
          <w:cantSplit/>
        </w:trPr>
        <w:tc>
          <w:tcPr>
            <w:tcW w:type="dxa" w:w="206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8"/>
              </w:rPr>
              <w:t>Devuelto Parcial</w:t>
            </w:r>
          </w:p>
        </w:tc>
        <w:tc>
          <w:tcPr>
            <w:tcW w:type="dxa" w:w="366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Préstamo con una parte ya devuelta</w:t>
            </w:r>
          </w:p>
        </w:tc>
        <w:tc>
          <w:tcPr>
            <w:tcW w:type="dxa" w:w="366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Registrar devoluciones por lo que falta e imprimir</w:t>
            </w:r>
          </w:p>
        </w:tc>
      </w:tr>
      <w:tr>
        <w:trPr>
          <w:cantSplit/>
        </w:trPr>
        <w:tc>
          <w:tcPr>
            <w:tcW w:type="dxa" w:w="206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8"/>
              </w:rPr>
              <w:t>Devuelto Total</w:t>
            </w:r>
          </w:p>
        </w:tc>
        <w:tc>
          <w:tcPr>
            <w:tcW w:type="dxa" w:w="3668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Préstamo devuelto completo</w:t>
            </w:r>
          </w:p>
        </w:tc>
        <w:tc>
          <w:tcPr>
            <w:tcW w:type="dxa" w:w="3668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Consultar e imprimir</w:t>
            </w:r>
          </w:p>
        </w:tc>
      </w:tr>
      <w:tr>
        <w:trPr>
          <w:cantSplit/>
        </w:trPr>
        <w:tc>
          <w:tcPr>
            <w:tcW w:type="dxa" w:w="206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8"/>
              </w:rPr>
              <w:t>Procesado</w:t>
            </w:r>
          </w:p>
        </w:tc>
        <w:tc>
          <w:tcPr>
            <w:tcW w:type="dxa" w:w="366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Devolución o merma ejecutada</w:t>
            </w:r>
          </w:p>
        </w:tc>
        <w:tc>
          <w:tcPr>
            <w:tcW w:type="dxa" w:w="366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Consultar e imprimir</w:t>
            </w:r>
          </w:p>
        </w:tc>
      </w:tr>
      <w:tr>
        <w:trPr>
          <w:cantSplit/>
        </w:trPr>
        <w:tc>
          <w:tcPr>
            <w:tcW w:type="dxa" w:w="206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8"/>
              </w:rPr>
              <w:t>Anulado</w:t>
            </w:r>
          </w:p>
        </w:tc>
        <w:tc>
          <w:tcPr>
            <w:tcW w:type="dxa" w:w="3668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Solicitud descartada antes de procesar; no movió inventario</w:t>
            </w:r>
          </w:p>
        </w:tc>
        <w:tc>
          <w:tcPr>
            <w:tcW w:type="dxa" w:w="3668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Consultar e imprimir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6" w:color="B8B8B8"/>
        </w:pBdr>
      </w:pPr>
      <w:r>
        <w:t>ACTORES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4C9"/>
          <w:left w:val="single" w:sz="4" w:color="BFC4C9"/>
          <w:bottom w:val="single" w:sz="4" w:color="BFC4C9"/>
          <w:right w:val="single" w:sz="4" w:color="BFC4C9"/>
          <w:insideH w:val="single" w:sz="4" w:color="BFC4C9"/>
          <w:insideV w:val="single" w:sz="4" w:color="BFC4C9"/>
        </w:tblBorders>
      </w:tblPr>
      <w:tblGrid>
        <w:gridCol w:w="1129"/>
        <w:gridCol w:w="2351"/>
        <w:gridCol w:w="5926"/>
      </w:tblGrid>
      <w:tr>
        <w:trPr>
          <w:cantSplit/>
          <w:tblHeader w:val="true"/>
        </w:trPr>
        <w:tc>
          <w:tcPr>
            <w:tcW w:type="dxa" w:w="1129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2351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Actor</w:t>
            </w:r>
          </w:p>
        </w:tc>
        <w:tc>
          <w:tcPr>
            <w:tcW w:type="dxa" w:w="5926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Qué hace</w:t>
            </w:r>
          </w:p>
        </w:tc>
      </w:tr>
      <w:tr>
        <w:trPr>
          <w:cantSplit/>
        </w:trPr>
        <w:tc>
          <w:tcPr>
            <w:tcW w:type="dxa" w:w="112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8"/>
              </w:rPr>
              <w:t>ACT-01</w:t>
            </w:r>
          </w:p>
        </w:tc>
        <w:tc>
          <w:tcPr>
            <w:tcW w:type="dxa" w:w="235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QF CASPM</w:t>
            </w:r>
          </w:p>
        </w:tc>
        <w:tc>
          <w:tcPr>
            <w:tcW w:type="dxa" w:w="592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Registra y procesa préstamos, devoluciones y mermas; corrige, anula, consulta e imprime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8"/>
              </w:rPr>
              <w:t>ACT-02</w:t>
            </w:r>
          </w:p>
        </w:tc>
        <w:tc>
          <w:tcPr>
            <w:tcW w:type="dxa" w:w="235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Administrator</w:t>
            </w:r>
          </w:p>
        </w:tc>
        <w:tc>
          <w:tcPr>
            <w:tcW w:type="dxa" w:w="5926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Lo mismo que QF CASPM, y mantiene la configuración del registro</w:t>
            </w:r>
          </w:p>
        </w:tc>
      </w:tr>
      <w:tr>
        <w:trPr>
          <w:cantSplit/>
        </w:trPr>
        <w:tc>
          <w:tcPr>
            <w:tcW w:type="dxa" w:w="112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8"/>
              </w:rPr>
              <w:t>ACT-03</w:t>
            </w:r>
          </w:p>
        </w:tc>
        <w:tc>
          <w:tcPr>
            <w:tcW w:type="dxa" w:w="235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Rol de consulta</w:t>
            </w:r>
          </w:p>
        </w:tc>
        <w:tc>
          <w:tcPr>
            <w:tcW w:type="dxa" w:w="592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Cualquier otro rol: consulta solicitudes e imprime comprobantes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6" w:color="B8B8B8"/>
        </w:pBdr>
      </w:pPr>
      <w:r>
        <w:t>GLOSARIO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4C9"/>
          <w:left w:val="single" w:sz="4" w:color="BFC4C9"/>
          <w:bottom w:val="single" w:sz="4" w:color="BFC4C9"/>
          <w:right w:val="single" w:sz="4" w:color="BFC4C9"/>
          <w:insideH w:val="single" w:sz="4" w:color="BFC4C9"/>
          <w:insideV w:val="single" w:sz="4" w:color="BFC4C9"/>
        </w:tblBorders>
      </w:tblPr>
      <w:tblGrid>
        <w:gridCol w:w="2351"/>
        <w:gridCol w:w="7054"/>
      </w:tblGrid>
      <w:tr>
        <w:trPr>
          <w:cantSplit/>
          <w:tblHeader w:val="true"/>
        </w:trPr>
        <w:tc>
          <w:tcPr>
            <w:tcW w:type="dxa" w:w="2351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Palabra</w:t>
            </w:r>
          </w:p>
        </w:tc>
        <w:tc>
          <w:tcPr>
            <w:tcW w:type="dxa" w:w="7054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Qué significa</w:t>
            </w:r>
          </w:p>
        </w:tc>
      </w:tr>
      <w:tr>
        <w:trPr>
          <w:cantSplit/>
        </w:trPr>
        <w:tc>
          <w:tcPr>
            <w:tcW w:type="dxa" w:w="235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8"/>
              </w:rPr>
              <w:t>Solicitud</w:t>
            </w:r>
          </w:p>
        </w:tc>
        <w:tc>
          <w:tcPr>
            <w:tcW w:type="dxa" w:w="7054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El registro de un préstamo, una devolución o una merma</w:t>
            </w:r>
          </w:p>
        </w:tc>
      </w:tr>
      <w:tr>
        <w:trPr>
          <w:cantSplit/>
        </w:trPr>
        <w:tc>
          <w:tcPr>
            <w:tcW w:type="dxa" w:w="235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8"/>
              </w:rPr>
              <w:t>Préstamo</w:t>
            </w:r>
          </w:p>
        </w:tc>
        <w:tc>
          <w:tcPr>
            <w:tcW w:type="dxa" w:w="7054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Material de farmacia que se entrega a otra institución y que tiene que volver</w:t>
            </w:r>
          </w:p>
        </w:tc>
      </w:tr>
      <w:tr>
        <w:trPr>
          <w:cantSplit/>
        </w:trPr>
        <w:tc>
          <w:tcPr>
            <w:tcW w:type="dxa" w:w="235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8"/>
              </w:rPr>
              <w:t>Devolución</w:t>
            </w:r>
          </w:p>
        </w:tc>
        <w:tc>
          <w:tcPr>
            <w:tcW w:type="dxa" w:w="7054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El material de un préstamo que vuelve, completo o en partes</w:t>
            </w:r>
          </w:p>
        </w:tc>
      </w:tr>
      <w:tr>
        <w:trPr>
          <w:cantSplit/>
        </w:trPr>
        <w:tc>
          <w:tcPr>
            <w:tcW w:type="dxa" w:w="235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8"/>
              </w:rPr>
              <w:t>Merma</w:t>
            </w:r>
          </w:p>
        </w:tc>
        <w:tc>
          <w:tcPr>
            <w:tcW w:type="dxa" w:w="7054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Material que se da de baja porque está vencido, deteriorado, en cuarentena u otro motivo</w:t>
            </w:r>
          </w:p>
        </w:tc>
      </w:tr>
      <w:tr>
        <w:trPr>
          <w:cantSplit/>
        </w:trPr>
        <w:tc>
          <w:tcPr>
            <w:tcW w:type="dxa" w:w="235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8"/>
              </w:rPr>
              <w:t>Entidad receptora</w:t>
            </w:r>
          </w:p>
        </w:tc>
        <w:tc>
          <w:tcPr>
            <w:tcW w:type="dxa" w:w="7054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La institución que recibe el material prestado</w:t>
            </w:r>
          </w:p>
        </w:tc>
      </w:tr>
      <w:tr>
        <w:trPr>
          <w:cantSplit/>
        </w:trPr>
        <w:tc>
          <w:tcPr>
            <w:tcW w:type="dxa" w:w="235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8"/>
              </w:rPr>
              <w:t>Bodega de préstamos</w:t>
            </w:r>
          </w:p>
        </w:tc>
        <w:tc>
          <w:tcPr>
            <w:tcW w:type="dxa" w:w="7054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La ubicación de cada subsidiaria donde queda registrado el material prestado mientras está afuera</w:t>
            </w:r>
          </w:p>
        </w:tc>
      </w:tr>
      <w:tr>
        <w:trPr>
          <w:cantSplit/>
        </w:trPr>
        <w:tc>
          <w:tcPr>
            <w:tcW w:type="dxa" w:w="235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8"/>
              </w:rPr>
              <w:t>Lote</w:t>
            </w:r>
          </w:p>
        </w:tc>
        <w:tc>
          <w:tcPr>
            <w:tcW w:type="dxa" w:w="7054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El número que identifica una partida de un artículo</w:t>
            </w:r>
          </w:p>
        </w:tc>
      </w:tr>
      <w:tr>
        <w:trPr>
          <w:cantSplit/>
        </w:trPr>
        <w:tc>
          <w:tcPr>
            <w:tcW w:type="dxa" w:w="235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8"/>
              </w:rPr>
              <w:t>Pendiente</w:t>
            </w:r>
          </w:p>
        </w:tc>
        <w:tc>
          <w:tcPr>
            <w:tcW w:type="dxa" w:w="7054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Lo que falta devolver de un préstamo</w:t>
            </w:r>
          </w:p>
        </w:tc>
      </w:tr>
      <w:tr>
        <w:trPr>
          <w:cantSplit/>
        </w:trPr>
        <w:tc>
          <w:tcPr>
            <w:tcW w:type="dxa" w:w="235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8"/>
              </w:rPr>
              <w:t>Procesar</w:t>
            </w:r>
          </w:p>
        </w:tc>
        <w:tc>
          <w:tcPr>
            <w:tcW w:type="dxa" w:w="7054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El paso que mueve el inventario de verdad</w:t>
            </w:r>
          </w:p>
        </w:tc>
      </w:tr>
      <w:tr>
        <w:trPr>
          <w:cantSplit/>
        </w:trPr>
        <w:tc>
          <w:tcPr>
            <w:tcW w:type="dxa" w:w="235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8"/>
              </w:rPr>
              <w:t>Traslado de inventario</w:t>
            </w:r>
          </w:p>
        </w:tc>
        <w:tc>
          <w:tcPr>
            <w:tcW w:type="dxa" w:w="7054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El movimiento que NetSuite genera al procesar un préstamo o una devolución</w:t>
            </w:r>
          </w:p>
        </w:tc>
      </w:tr>
      <w:tr>
        <w:trPr>
          <w:cantSplit/>
        </w:trPr>
        <w:tc>
          <w:tcPr>
            <w:tcW w:type="dxa" w:w="235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8"/>
              </w:rPr>
              <w:t>Ajuste de inventario</w:t>
            </w:r>
          </w:p>
        </w:tc>
        <w:tc>
          <w:tcPr>
            <w:tcW w:type="dxa" w:w="7054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El movimiento que NetSuite genera al procesar una merma: descuenta el material</w:t>
            </w:r>
          </w:p>
        </w:tc>
      </w:tr>
      <w:tr>
        <w:trPr>
          <w:cantSplit/>
        </w:trPr>
        <w:tc>
          <w:tcPr>
            <w:tcW w:type="dxa" w:w="235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8"/>
              </w:rPr>
              <w:t>Cuenta de ajuste</w:t>
            </w:r>
          </w:p>
        </w:tc>
        <w:tc>
          <w:tcPr>
            <w:tcW w:type="dxa" w:w="7054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8"/>
              </w:rPr>
              <w:t>La cuenta contable donde se registra la merma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6" w:color="B8B8B8"/>
        </w:pBdr>
      </w:pPr>
      <w:r>
        <w:t>CÓMO LEER LOS DIAGRAMAS</w:t>
      </w:r>
    </w:p>
    <w:p>
      <w:pPr>
        <w:ind w:left="259"/>
      </w:pPr>
      <w:r>
        <w:t>• La figura de persona es el rol y cada óvalo es algo que se hace en el sistema.</w:t>
      </w:r>
    </w:p>
    <w:p>
      <w:pPr>
        <w:ind w:left="259"/>
      </w:pPr>
      <w:r>
        <w:t>• La línea continua une al rol con lo que hace; la flecha punteada «include» marca un paso que siempre ocurre dentro de otro, y «extend», algo opcional.</w:t>
      </w:r>
    </w:p>
    <w:p>
      <w:pPr>
        <w:ind w:left="259"/>
      </w:pPr>
      <w:r>
        <w:t>• Debajo de cada diagrama, la tabla dice lo mismo con palabras: "Usa" es lo que el rol inicia, "Incluido en" es un paso que siempre ocurre dentro de ese caso, y "Extiende" es algo opcional.</w:t>
      </w:r>
    </w:p>
    <w:p>
      <w:pPr>
        <w:sectPr>
          <w:footerReference w:type="default" r:id="rId11"/>
          <w:pgSz w:h="15840" w:w="12240"/>
          <w:pgMar w:bottom="1417" w:top="1417" w:left="1417" w:right="1417" w:header="720" w:footer="720"/>
        </w:sectPr>
      </w:pPr>
    </w:p>
    <w:p>
      <w:pPr>
        <w:pStyle w:val="Heading1"/>
        <w:pBdr>
          <w:bottom w:val="single" w:sz="6" w:color="B8B8B8"/>
        </w:pBdr>
      </w:pPr>
      <w:r>
        <w:t>PROCESOS</w:t>
      </w:r>
    </w:p>
    <w:p>
      <w:pPr>
        <w:pStyle w:val="Heading2"/>
      </w:pPr>
      <w:r>
        <w:t>Proceso 1 — Préstamo</w:t>
      </w:r>
    </w:p>
    <w:p>
      <w:pPr>
        <w:keepNext/>
        <w:spacing w:after="120"/>
      </w:pPr>
      <w:r>
        <w:t>Flujo: QF CASPM o Administrator registra el préstamo: selecciona subsidiaria, servicio y ubicación de origen; el sistema asigna como destino la bodega de préstamos; elige la entidad receptora e ingresa artículos, lotes y cantidades. Mientras no lo procese, puede corregirlo o anularlo. Al procesarlo, el sistema valida el stock y genera el traslado hacia la bodega de préstamos, y el préstamo queda Pendiente de Devolucion.</w:t>
      </w:r>
    </w:p>
    <w:p>
      <w:pPr>
        <w:spacing w:after="140"/>
        <w:jc w:val="center"/>
      </w:pPr>
      <w:r>
        <w:drawing>
          <wp:inline>
            <wp:extent cx="8138160" cy="50071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ta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500710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4C9"/>
          <w:left w:val="single" w:sz="4" w:color="BFC4C9"/>
          <w:bottom w:val="single" w:sz="4" w:color="BFC4C9"/>
          <w:right w:val="single" w:sz="4" w:color="BFC4C9"/>
          <w:insideH w:val="single" w:sz="4" w:color="BFC4C9"/>
          <w:insideV w:val="single" w:sz="4" w:color="BFC4C9"/>
        </w:tblBorders>
      </w:tblPr>
      <w:tblGrid>
        <w:gridCol w:w="1489"/>
        <w:gridCol w:w="3249"/>
        <w:gridCol w:w="2707"/>
        <w:gridCol w:w="6091"/>
      </w:tblGrid>
      <w:tr>
        <w:trPr>
          <w:cantSplit/>
          <w:tblHeader w:val="true"/>
        </w:trPr>
        <w:tc>
          <w:tcPr>
            <w:tcW w:type="dxa" w:w="1489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7"/>
              </w:rPr>
              <w:t>ID</w:t>
            </w:r>
          </w:p>
        </w:tc>
        <w:tc>
          <w:tcPr>
            <w:tcW w:type="dxa" w:w="3249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7"/>
              </w:rPr>
              <w:t>Caso de uso</w:t>
            </w:r>
          </w:p>
        </w:tc>
        <w:tc>
          <w:tcPr>
            <w:tcW w:type="dxa" w:w="2707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7"/>
              </w:rPr>
              <w:t>Relación</w:t>
            </w:r>
          </w:p>
        </w:tc>
        <w:tc>
          <w:tcPr>
            <w:tcW w:type="dxa" w:w="6091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7"/>
              </w:rPr>
              <w:t>Qué hace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CU-01</w:t>
            </w:r>
          </w:p>
        </w:tc>
        <w:tc>
          <w:tcPr>
            <w:tcW w:type="dxa" w:w="324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Registrar préstamo</w:t>
            </w:r>
          </w:p>
        </w:tc>
        <w:tc>
          <w:tcPr>
            <w:tcW w:type="dxa" w:w="2707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Usa: ACT-01, ACT-02</w:t>
            </w:r>
          </w:p>
        </w:tc>
        <w:tc>
          <w:tcPr>
            <w:tcW w:type="dxa" w:w="609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Crea la solicitud de préstamo con sus datos y artículos; queda Pendiente de Procesar, sin mover inventario</w:t>
            </w:r>
          </w:p>
        </w:tc>
      </w:tr>
      <w:tr>
        <w:trPr>
          <w:cantSplit/>
        </w:trPr>
        <w:tc>
          <w:tcPr>
            <w:tcW w:type="dxa" w:w="148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CU-02</w:t>
            </w:r>
          </w:p>
        </w:tc>
        <w:tc>
          <w:tcPr>
            <w:tcW w:type="dxa" w:w="324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Seleccionar subsidiaria</w:t>
            </w:r>
          </w:p>
        </w:tc>
        <w:tc>
          <w:tcPr>
            <w:tcW w:type="dxa" w:w="2707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Incluido en: CU-01</w:t>
            </w:r>
          </w:p>
        </w:tc>
        <w:tc>
          <w:tcPr>
            <w:tcW w:type="dxa" w:w="609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Define la subsidiaria de la solicitud; las listas del formulario se cargan solo con lo de esa subsidiaria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CU-03</w:t>
            </w:r>
          </w:p>
        </w:tc>
        <w:tc>
          <w:tcPr>
            <w:tcW w:type="dxa" w:w="324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Seleccionar servicio y ubicación</w:t>
            </w:r>
          </w:p>
        </w:tc>
        <w:tc>
          <w:tcPr>
            <w:tcW w:type="dxa" w:w="2707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Incluido en: CU-01</w:t>
            </w:r>
          </w:p>
        </w:tc>
        <w:tc>
          <w:tcPr>
            <w:tcW w:type="dxa" w:w="609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Indica el servicio y la ubicación de donde sale el material</w:t>
            </w:r>
          </w:p>
        </w:tc>
      </w:tr>
      <w:tr>
        <w:trPr>
          <w:cantSplit/>
        </w:trPr>
        <w:tc>
          <w:tcPr>
            <w:tcW w:type="dxa" w:w="148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CU-04</w:t>
            </w:r>
          </w:p>
        </w:tc>
        <w:tc>
          <w:tcPr>
            <w:tcW w:type="dxa" w:w="324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Asignar bodega de préstamos como destino</w:t>
            </w:r>
          </w:p>
        </w:tc>
        <w:tc>
          <w:tcPr>
            <w:tcW w:type="dxa" w:w="2707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Incluido en: CU-01</w:t>
            </w:r>
          </w:p>
        </w:tc>
        <w:tc>
          <w:tcPr>
            <w:tcW w:type="dxa" w:w="609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El sistema completa el destino con la bodega de préstamos de la subsidiaria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CU-05</w:t>
            </w:r>
          </w:p>
        </w:tc>
        <w:tc>
          <w:tcPr>
            <w:tcW w:type="dxa" w:w="324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Seleccionar entidad receptora</w:t>
            </w:r>
          </w:p>
        </w:tc>
        <w:tc>
          <w:tcPr>
            <w:tcW w:type="dxa" w:w="2707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Incluido en: CU-01</w:t>
            </w:r>
          </w:p>
        </w:tc>
        <w:tc>
          <w:tcPr>
            <w:tcW w:type="dxa" w:w="609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Elige la institución que se lleva el material, solo entre las activas autorizadas para la subsidiaria; es obligatoria</w:t>
            </w:r>
          </w:p>
        </w:tc>
      </w:tr>
      <w:tr>
        <w:trPr>
          <w:cantSplit/>
        </w:trPr>
        <w:tc>
          <w:tcPr>
            <w:tcW w:type="dxa" w:w="148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CU-06</w:t>
            </w:r>
          </w:p>
        </w:tc>
        <w:tc>
          <w:tcPr>
            <w:tcW w:type="dxa" w:w="324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Ingresar artículos, lotes y cantidades</w:t>
            </w:r>
          </w:p>
        </w:tc>
        <w:tc>
          <w:tcPr>
            <w:tcW w:type="dxa" w:w="2707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Incluido en: CU-01</w:t>
            </w:r>
          </w:p>
        </w:tc>
        <w:tc>
          <w:tcPr>
            <w:tcW w:type="dxa" w:w="609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Agrega cada artículo, el lote cuando aplica y la cantidad; el sistema muestra lo disponible. Con lote, si se pide más de lo que hay se ajusta solo; sin lote, no deja guardar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CU-07</w:t>
            </w:r>
          </w:p>
        </w:tc>
        <w:tc>
          <w:tcPr>
            <w:tcW w:type="dxa" w:w="324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Procesar préstamo</w:t>
            </w:r>
          </w:p>
        </w:tc>
        <w:tc>
          <w:tcPr>
            <w:tcW w:type="dxa" w:w="2707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Usa: ACT-01, ACT-02</w:t>
            </w:r>
          </w:p>
        </w:tc>
        <w:tc>
          <w:tcPr>
            <w:tcW w:type="dxa" w:w="609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Ejecuta el préstamo con Procesar Prestamo; queda Pendiente de Devolucion y el material, en la bodega de préstamos</w:t>
            </w:r>
          </w:p>
        </w:tc>
      </w:tr>
      <w:tr>
        <w:trPr>
          <w:cantSplit/>
        </w:trPr>
        <w:tc>
          <w:tcPr>
            <w:tcW w:type="dxa" w:w="148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CU-08</w:t>
            </w:r>
          </w:p>
        </w:tc>
        <w:tc>
          <w:tcPr>
            <w:tcW w:type="dxa" w:w="324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Validar stock</w:t>
            </w:r>
          </w:p>
        </w:tc>
        <w:tc>
          <w:tcPr>
            <w:tcW w:type="dxa" w:w="2707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Incluido en: CU-07</w:t>
            </w:r>
          </w:p>
        </w:tc>
        <w:tc>
          <w:tcPr>
            <w:tcW w:type="dxa" w:w="609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Antes de mover, compara lo pedido con lo que hay del lote o del artículo en la ubicación de salida; los lotes Bloqueado, En Inspección o Damaged no cuentan. Si falta en una línea, no se mueve nada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CU-09</w:t>
            </w:r>
          </w:p>
        </w:tc>
        <w:tc>
          <w:tcPr>
            <w:tcW w:type="dxa" w:w="324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Generar traslado de inventario</w:t>
            </w:r>
          </w:p>
        </w:tc>
        <w:tc>
          <w:tcPr>
            <w:tcW w:type="dxa" w:w="2707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Incluido en: CU-07</w:t>
            </w:r>
          </w:p>
        </w:tc>
        <w:tc>
          <w:tcPr>
            <w:tcW w:type="dxa" w:w="609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Mueve el material con un traslado de inventario: hacia la bodega de préstamos al prestar, de vuelta a la ubicación de origen al devolver</w:t>
            </w:r>
          </w:p>
        </w:tc>
      </w:tr>
      <w:tr>
        <w:trPr>
          <w:cantSplit/>
        </w:trPr>
        <w:tc>
          <w:tcPr>
            <w:tcW w:type="dxa" w:w="148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CU-10</w:t>
            </w:r>
          </w:p>
        </w:tc>
        <w:tc>
          <w:tcPr>
            <w:tcW w:type="dxa" w:w="324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Corregir o anular solicitud</w:t>
            </w:r>
          </w:p>
        </w:tc>
        <w:tc>
          <w:tcPr>
            <w:tcW w:type="dxa" w:w="2707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Extiende: CU-01</w:t>
            </w:r>
          </w:p>
        </w:tc>
        <w:tc>
          <w:tcPr>
            <w:tcW w:type="dxa" w:w="609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Solo mientras está Pendiente de Procesar: permite corregir fecha, responsable, comentarios y artículos, o anular la solicitud sin mover inventario</w:t>
            </w:r>
          </w:p>
        </w:tc>
      </w:tr>
    </w:tbl>
    <w:p>
      <w:pPr>
        <w:spacing w:after="40"/>
      </w:pPr>
    </w:p>
    <w:p>
      <w:pPr>
        <w:sectPr>
          <w:footerReference w:type="default" r:id="rId12"/>
          <w:pgSz w:h="12240" w:w="15840" w:orient="landscape"/>
          <w:pgMar w:bottom="893" w:top="893" w:left="1152" w:right="1152" w:header="720" w:footer="720"/>
        </w:sectPr>
      </w:pPr>
    </w:p>
    <w:p>
      <w:pPr>
        <w:pStyle w:val="Heading2"/>
      </w:pPr>
      <w:r>
        <w:t>Proceso 2 — Devolución</w:t>
      </w:r>
    </w:p>
    <w:p>
      <w:pPr>
        <w:keepNext/>
        <w:spacing w:after="120"/>
      </w:pPr>
      <w:r>
        <w:t>Flujo: QF CASPM o Administrator registra la devolución: selecciona la subsidiaria y el préstamo pendiente, con un filtro opcional por entidad receptora; el sistema hereda del préstamo el origen (la bodega de préstamos) y el destino (la ubicación de donde salió), y el usuario indica cuánto vuelve. Al procesarla, el sistema toma los mismos lotes del préstamo, valida que estén en la bodega, genera el traslado de vuelta y descuenta el pendiente del préstamo.</w:t>
      </w:r>
    </w:p>
    <w:p>
      <w:pPr>
        <w:spacing w:after="140"/>
        <w:jc w:val="center"/>
      </w:pPr>
      <w:r>
        <w:drawing>
          <wp:inline>
            <wp:extent cx="8138160" cy="50071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luc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500710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4C9"/>
          <w:left w:val="single" w:sz="4" w:color="BFC4C9"/>
          <w:bottom w:val="single" w:sz="4" w:color="BFC4C9"/>
          <w:right w:val="single" w:sz="4" w:color="BFC4C9"/>
          <w:insideH w:val="single" w:sz="4" w:color="BFC4C9"/>
          <w:insideV w:val="single" w:sz="4" w:color="BFC4C9"/>
        </w:tblBorders>
      </w:tblPr>
      <w:tblGrid>
        <w:gridCol w:w="1489"/>
        <w:gridCol w:w="3249"/>
        <w:gridCol w:w="2707"/>
        <w:gridCol w:w="6091"/>
      </w:tblGrid>
      <w:tr>
        <w:trPr>
          <w:cantSplit/>
          <w:tblHeader w:val="true"/>
        </w:trPr>
        <w:tc>
          <w:tcPr>
            <w:tcW w:type="dxa" w:w="1489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7"/>
              </w:rPr>
              <w:t>ID</w:t>
            </w:r>
          </w:p>
        </w:tc>
        <w:tc>
          <w:tcPr>
            <w:tcW w:type="dxa" w:w="3249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7"/>
              </w:rPr>
              <w:t>Caso de uso</w:t>
            </w:r>
          </w:p>
        </w:tc>
        <w:tc>
          <w:tcPr>
            <w:tcW w:type="dxa" w:w="2707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7"/>
              </w:rPr>
              <w:t>Relación</w:t>
            </w:r>
          </w:p>
        </w:tc>
        <w:tc>
          <w:tcPr>
            <w:tcW w:type="dxa" w:w="6091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7"/>
              </w:rPr>
              <w:t>Qué hace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CU-11</w:t>
            </w:r>
          </w:p>
        </w:tc>
        <w:tc>
          <w:tcPr>
            <w:tcW w:type="dxa" w:w="324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Registrar devolución</w:t>
            </w:r>
          </w:p>
        </w:tc>
        <w:tc>
          <w:tcPr>
            <w:tcW w:type="dxa" w:w="2707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Usa: ACT-01, ACT-02</w:t>
            </w:r>
          </w:p>
        </w:tc>
        <w:tc>
          <w:tcPr>
            <w:tcW w:type="dxa" w:w="609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Crea la solicitud de devolución de un préstamo; queda Pendiente de Procesar, sin mover inventario</w:t>
            </w:r>
          </w:p>
        </w:tc>
      </w:tr>
      <w:tr>
        <w:trPr>
          <w:cantSplit/>
        </w:trPr>
        <w:tc>
          <w:tcPr>
            <w:tcW w:type="dxa" w:w="148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CU-02</w:t>
            </w:r>
          </w:p>
        </w:tc>
        <w:tc>
          <w:tcPr>
            <w:tcW w:type="dxa" w:w="324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Seleccionar subsidiaria</w:t>
            </w:r>
          </w:p>
        </w:tc>
        <w:tc>
          <w:tcPr>
            <w:tcW w:type="dxa" w:w="2707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Incluido en: CU-11</w:t>
            </w:r>
          </w:p>
        </w:tc>
        <w:tc>
          <w:tcPr>
            <w:tcW w:type="dxa" w:w="609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Define la subsidiaria de la solicitud; las listas del formulario se cargan solo con lo de esa subsidiaria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CU-12</w:t>
            </w:r>
          </w:p>
        </w:tc>
        <w:tc>
          <w:tcPr>
            <w:tcW w:type="dxa" w:w="324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Seleccionar préstamo pendiente</w:t>
            </w:r>
          </w:p>
        </w:tc>
        <w:tc>
          <w:tcPr>
            <w:tcW w:type="dxa" w:w="2707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Incluido en: CU-11</w:t>
            </w:r>
          </w:p>
        </w:tc>
        <w:tc>
          <w:tcPr>
            <w:tcW w:type="dxa" w:w="609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Muestra los préstamos de la subsidiaria con cantidad pendiente, con su número, entidad, ubicación de origen y pendiente, y toma el elegido</w:t>
            </w:r>
          </w:p>
        </w:tc>
      </w:tr>
      <w:tr>
        <w:trPr>
          <w:cantSplit/>
        </w:trPr>
        <w:tc>
          <w:tcPr>
            <w:tcW w:type="dxa" w:w="148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CU-13</w:t>
            </w:r>
          </w:p>
        </w:tc>
        <w:tc>
          <w:tcPr>
            <w:tcW w:type="dxa" w:w="324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Filtrar por entidad receptora</w:t>
            </w:r>
          </w:p>
        </w:tc>
        <w:tc>
          <w:tcPr>
            <w:tcW w:type="dxa" w:w="2707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Extiende: CU-12</w:t>
            </w:r>
          </w:p>
        </w:tc>
        <w:tc>
          <w:tcPr>
            <w:tcW w:type="dxa" w:w="609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Opcional: deja solo los préstamos de una entidad; vacío, muestra todos, incluidos los antiguos registrados sin entidad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CU-14</w:t>
            </w:r>
          </w:p>
        </w:tc>
        <w:tc>
          <w:tcPr>
            <w:tcW w:type="dxa" w:w="324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Heredar origen y destino del préstamo</w:t>
            </w:r>
          </w:p>
        </w:tc>
        <w:tc>
          <w:tcPr>
            <w:tcW w:type="dxa" w:w="2707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Incluido en: CU-11</w:t>
            </w:r>
          </w:p>
        </w:tc>
        <w:tc>
          <w:tcPr>
            <w:tcW w:type="dxa" w:w="609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El sistema toma subsidiaria, servicio y entidad del préstamo, fija el origen en la bodega de préstamos y el destino en la ubicación de donde salió el material</w:t>
            </w:r>
          </w:p>
        </w:tc>
      </w:tr>
      <w:tr>
        <w:trPr>
          <w:cantSplit/>
        </w:trPr>
        <w:tc>
          <w:tcPr>
            <w:tcW w:type="dxa" w:w="148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CU-15</w:t>
            </w:r>
          </w:p>
        </w:tc>
        <w:tc>
          <w:tcPr>
            <w:tcW w:type="dxa" w:w="324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Ingresar cantidades a devolver</w:t>
            </w:r>
          </w:p>
        </w:tc>
        <w:tc>
          <w:tcPr>
            <w:tcW w:type="dxa" w:w="2707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Incluido en: CU-11</w:t>
            </w:r>
          </w:p>
        </w:tc>
        <w:tc>
          <w:tcPr>
            <w:tcW w:type="dxa" w:w="609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Muestra lo prestado, lo devuelto y lo pendiente de cada artículo, con la cantidad a devolver cargada con lo pendiente; no deja devolver más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CU-16</w:t>
            </w:r>
          </w:p>
        </w:tc>
        <w:tc>
          <w:tcPr>
            <w:tcW w:type="dxa" w:w="324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Procesar devolución</w:t>
            </w:r>
          </w:p>
        </w:tc>
        <w:tc>
          <w:tcPr>
            <w:tcW w:type="dxa" w:w="2707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Usa: ACT-01, ACT-02</w:t>
            </w:r>
          </w:p>
        </w:tc>
        <w:tc>
          <w:tcPr>
            <w:tcW w:type="dxa" w:w="609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Ejecuta la devolución con Procesar Devolucion; queda Procesado y el préstamo, Devuelto Parcial o Devuelto Total</w:t>
            </w:r>
          </w:p>
        </w:tc>
      </w:tr>
      <w:tr>
        <w:trPr>
          <w:cantSplit/>
        </w:trPr>
        <w:tc>
          <w:tcPr>
            <w:tcW w:type="dxa" w:w="148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CU-17</w:t>
            </w:r>
          </w:p>
        </w:tc>
        <w:tc>
          <w:tcPr>
            <w:tcW w:type="dxa" w:w="324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Tomar los lotes del préstamo</w:t>
            </w:r>
          </w:p>
        </w:tc>
        <w:tc>
          <w:tcPr>
            <w:tcW w:type="dxa" w:w="2707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Incluido en: CU-16</w:t>
            </w:r>
          </w:p>
        </w:tc>
        <w:tc>
          <w:tcPr>
            <w:tcW w:type="dxa" w:w="609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El sistema devuelve los mismos lotes que salieron en el préstamo, descontando lo que ya volvió en devoluciones anteriores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CU-08</w:t>
            </w:r>
          </w:p>
        </w:tc>
        <w:tc>
          <w:tcPr>
            <w:tcW w:type="dxa" w:w="324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Validar stock</w:t>
            </w:r>
          </w:p>
        </w:tc>
        <w:tc>
          <w:tcPr>
            <w:tcW w:type="dxa" w:w="2707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Incluido en: CU-16</w:t>
            </w:r>
          </w:p>
        </w:tc>
        <w:tc>
          <w:tcPr>
            <w:tcW w:type="dxa" w:w="609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Antes de mover, compara lo pedido con lo que hay del lote o del artículo en la ubicación de salida; los lotes Bloqueado, En Inspección o Damaged no cuentan. Si falta en una línea, no se mueve nada</w:t>
            </w:r>
          </w:p>
        </w:tc>
      </w:tr>
      <w:tr>
        <w:trPr>
          <w:cantSplit/>
        </w:trPr>
        <w:tc>
          <w:tcPr>
            <w:tcW w:type="dxa" w:w="148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CU-09</w:t>
            </w:r>
          </w:p>
        </w:tc>
        <w:tc>
          <w:tcPr>
            <w:tcW w:type="dxa" w:w="324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Generar traslado de inventario</w:t>
            </w:r>
          </w:p>
        </w:tc>
        <w:tc>
          <w:tcPr>
            <w:tcW w:type="dxa" w:w="2707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Incluido en: CU-16</w:t>
            </w:r>
          </w:p>
        </w:tc>
        <w:tc>
          <w:tcPr>
            <w:tcW w:type="dxa" w:w="609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Mueve el material con un traslado de inventario: hacia la bodega de préstamos al prestar, de vuelta a la ubicación de origen al devolver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CU-18</w:t>
            </w:r>
          </w:p>
        </w:tc>
        <w:tc>
          <w:tcPr>
            <w:tcW w:type="dxa" w:w="324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Actualizar pendiente del préstamo</w:t>
            </w:r>
          </w:p>
        </w:tc>
        <w:tc>
          <w:tcPr>
            <w:tcW w:type="dxa" w:w="2707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Incluido en: CU-16</w:t>
            </w:r>
          </w:p>
        </w:tc>
        <w:tc>
          <w:tcPr>
            <w:tcW w:type="dxa" w:w="609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Resta lo devuelto de cada línea del préstamo; si no queda nada pendiente lo deja Devuelto Total y, si queda, Devuelto Parcial</w:t>
            </w:r>
          </w:p>
        </w:tc>
      </w:tr>
      <w:tr>
        <w:trPr>
          <w:cantSplit/>
        </w:trPr>
        <w:tc>
          <w:tcPr>
            <w:tcW w:type="dxa" w:w="148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CU-10</w:t>
            </w:r>
          </w:p>
        </w:tc>
        <w:tc>
          <w:tcPr>
            <w:tcW w:type="dxa" w:w="324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Corregir o anular solicitud</w:t>
            </w:r>
          </w:p>
        </w:tc>
        <w:tc>
          <w:tcPr>
            <w:tcW w:type="dxa" w:w="2707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Extiende: CU-11</w:t>
            </w:r>
          </w:p>
        </w:tc>
        <w:tc>
          <w:tcPr>
            <w:tcW w:type="dxa" w:w="609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Solo mientras está Pendiente de Procesar: permite corregir fecha, responsable, comentarios y artículos, o anular la solicitud sin mover inventario</w:t>
            </w:r>
          </w:p>
        </w:tc>
      </w:tr>
    </w:tbl>
    <w:p>
      <w:pPr>
        <w:spacing w:after="40"/>
      </w:pPr>
    </w:p>
    <w:p>
      <w:pPr>
        <w:sectPr>
          <w:footerReference w:type="default" r:id="rId14"/>
          <w:pgSz w:h="12240" w:w="15840" w:orient="landscape"/>
          <w:pgMar w:bottom="893" w:top="893" w:left="1152" w:right="1152" w:header="720" w:footer="720"/>
        </w:sectPr>
      </w:pPr>
    </w:p>
    <w:p>
      <w:pPr>
        <w:pStyle w:val="Heading2"/>
      </w:pPr>
      <w:r>
        <w:t>Proceso 3 — Merma</w:t>
      </w:r>
    </w:p>
    <w:p>
      <w:pPr>
        <w:keepNext/>
        <w:spacing w:after="120"/>
      </w:pPr>
      <w:r>
        <w:t>Flujo: QF CASPM o Administrator registra la merma: selecciona subsidiaria, servicio y ubicación, el motivo de la baja y la cuenta de ajuste, e ingresa artículos, lotes y cantidades. Mientras no la procese, puede corregirla o anularla. Al procesarla, el sistema valida el stock y genera un ajuste que descuenta el material de la misma ubicación, y la merma queda Procesado.</w:t>
      </w:r>
    </w:p>
    <w:p>
      <w:pPr>
        <w:spacing w:after="140"/>
        <w:jc w:val="center"/>
      </w:pPr>
      <w:r>
        <w:drawing>
          <wp:inline>
            <wp:extent cx="8138160" cy="50071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500710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4C9"/>
          <w:left w:val="single" w:sz="4" w:color="BFC4C9"/>
          <w:bottom w:val="single" w:sz="4" w:color="BFC4C9"/>
          <w:right w:val="single" w:sz="4" w:color="BFC4C9"/>
          <w:insideH w:val="single" w:sz="4" w:color="BFC4C9"/>
          <w:insideV w:val="single" w:sz="4" w:color="BFC4C9"/>
        </w:tblBorders>
      </w:tblPr>
      <w:tblGrid>
        <w:gridCol w:w="1489"/>
        <w:gridCol w:w="3249"/>
        <w:gridCol w:w="2707"/>
        <w:gridCol w:w="6091"/>
      </w:tblGrid>
      <w:tr>
        <w:trPr>
          <w:cantSplit/>
          <w:tblHeader w:val="true"/>
        </w:trPr>
        <w:tc>
          <w:tcPr>
            <w:tcW w:type="dxa" w:w="1489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7"/>
              </w:rPr>
              <w:t>ID</w:t>
            </w:r>
          </w:p>
        </w:tc>
        <w:tc>
          <w:tcPr>
            <w:tcW w:type="dxa" w:w="3249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7"/>
              </w:rPr>
              <w:t>Caso de uso</w:t>
            </w:r>
          </w:p>
        </w:tc>
        <w:tc>
          <w:tcPr>
            <w:tcW w:type="dxa" w:w="2707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7"/>
              </w:rPr>
              <w:t>Relación</w:t>
            </w:r>
          </w:p>
        </w:tc>
        <w:tc>
          <w:tcPr>
            <w:tcW w:type="dxa" w:w="6091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7"/>
              </w:rPr>
              <w:t>Qué hace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CU-19</w:t>
            </w:r>
          </w:p>
        </w:tc>
        <w:tc>
          <w:tcPr>
            <w:tcW w:type="dxa" w:w="324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Registrar merma</w:t>
            </w:r>
          </w:p>
        </w:tc>
        <w:tc>
          <w:tcPr>
            <w:tcW w:type="dxa" w:w="2707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Usa: ACT-01, ACT-02</w:t>
            </w:r>
          </w:p>
        </w:tc>
        <w:tc>
          <w:tcPr>
            <w:tcW w:type="dxa" w:w="609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Crea la solicitud de merma con sus datos y artículos; queda Pendiente de Procesar, sin mover inventario</w:t>
            </w:r>
          </w:p>
        </w:tc>
      </w:tr>
      <w:tr>
        <w:trPr>
          <w:cantSplit/>
        </w:trPr>
        <w:tc>
          <w:tcPr>
            <w:tcW w:type="dxa" w:w="148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CU-02</w:t>
            </w:r>
          </w:p>
        </w:tc>
        <w:tc>
          <w:tcPr>
            <w:tcW w:type="dxa" w:w="324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Seleccionar subsidiaria</w:t>
            </w:r>
          </w:p>
        </w:tc>
        <w:tc>
          <w:tcPr>
            <w:tcW w:type="dxa" w:w="2707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Incluido en: CU-19</w:t>
            </w:r>
          </w:p>
        </w:tc>
        <w:tc>
          <w:tcPr>
            <w:tcW w:type="dxa" w:w="609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Define la subsidiaria de la solicitud; las listas del formulario se cargan solo con lo de esa subsidiaria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CU-03</w:t>
            </w:r>
          </w:p>
        </w:tc>
        <w:tc>
          <w:tcPr>
            <w:tcW w:type="dxa" w:w="324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Seleccionar servicio y ubicación</w:t>
            </w:r>
          </w:p>
        </w:tc>
        <w:tc>
          <w:tcPr>
            <w:tcW w:type="dxa" w:w="2707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Incluido en: CU-19</w:t>
            </w:r>
          </w:p>
        </w:tc>
        <w:tc>
          <w:tcPr>
            <w:tcW w:type="dxa" w:w="609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Indica el servicio y la ubicación de donde sale el material</w:t>
            </w:r>
          </w:p>
        </w:tc>
      </w:tr>
      <w:tr>
        <w:trPr>
          <w:cantSplit/>
        </w:trPr>
        <w:tc>
          <w:tcPr>
            <w:tcW w:type="dxa" w:w="148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CU-20</w:t>
            </w:r>
          </w:p>
        </w:tc>
        <w:tc>
          <w:tcPr>
            <w:tcW w:type="dxa" w:w="324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Seleccionar motivo de baja</w:t>
            </w:r>
          </w:p>
        </w:tc>
        <w:tc>
          <w:tcPr>
            <w:tcW w:type="dxa" w:w="2707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Incluido en: CU-19</w:t>
            </w:r>
          </w:p>
        </w:tc>
        <w:tc>
          <w:tcPr>
            <w:tcW w:type="dxa" w:w="609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Elige el motivo: Vencimiento, Deterioro, Cuarentena u Otro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CU-21</w:t>
            </w:r>
          </w:p>
        </w:tc>
        <w:tc>
          <w:tcPr>
            <w:tcW w:type="dxa" w:w="324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Seleccionar cuenta de ajuste</w:t>
            </w:r>
          </w:p>
        </w:tc>
        <w:tc>
          <w:tcPr>
            <w:tcW w:type="dxa" w:w="2707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Incluido en: CU-19</w:t>
            </w:r>
          </w:p>
        </w:tc>
        <w:tc>
          <w:tcPr>
            <w:tcW w:type="dxa" w:w="609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Elige la cuenta contable de la merma, solo entre las activas autorizadas para la subsidiaria</w:t>
            </w:r>
          </w:p>
        </w:tc>
      </w:tr>
      <w:tr>
        <w:trPr>
          <w:cantSplit/>
        </w:trPr>
        <w:tc>
          <w:tcPr>
            <w:tcW w:type="dxa" w:w="148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CU-06</w:t>
            </w:r>
          </w:p>
        </w:tc>
        <w:tc>
          <w:tcPr>
            <w:tcW w:type="dxa" w:w="324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Ingresar artículos, lotes y cantidades</w:t>
            </w:r>
          </w:p>
        </w:tc>
        <w:tc>
          <w:tcPr>
            <w:tcW w:type="dxa" w:w="2707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Incluido en: CU-19</w:t>
            </w:r>
          </w:p>
        </w:tc>
        <w:tc>
          <w:tcPr>
            <w:tcW w:type="dxa" w:w="609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Agrega cada artículo, el lote cuando aplica y la cantidad; el sistema muestra lo disponible. Con lote, si se pide más de lo que hay se ajusta solo; sin lote, no deja guardar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CU-22</w:t>
            </w:r>
          </w:p>
        </w:tc>
        <w:tc>
          <w:tcPr>
            <w:tcW w:type="dxa" w:w="324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Procesar merma</w:t>
            </w:r>
          </w:p>
        </w:tc>
        <w:tc>
          <w:tcPr>
            <w:tcW w:type="dxa" w:w="2707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Usa: ACT-01, ACT-02</w:t>
            </w:r>
          </w:p>
        </w:tc>
        <w:tc>
          <w:tcPr>
            <w:tcW w:type="dxa" w:w="609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Ejecuta la merma con Procesar Merma; queda Procesado y el material sale del inventario</w:t>
            </w:r>
          </w:p>
        </w:tc>
      </w:tr>
      <w:tr>
        <w:trPr>
          <w:cantSplit/>
        </w:trPr>
        <w:tc>
          <w:tcPr>
            <w:tcW w:type="dxa" w:w="148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CU-08</w:t>
            </w:r>
          </w:p>
        </w:tc>
        <w:tc>
          <w:tcPr>
            <w:tcW w:type="dxa" w:w="324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Validar stock</w:t>
            </w:r>
          </w:p>
        </w:tc>
        <w:tc>
          <w:tcPr>
            <w:tcW w:type="dxa" w:w="2707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Incluido en: CU-22</w:t>
            </w:r>
          </w:p>
        </w:tc>
        <w:tc>
          <w:tcPr>
            <w:tcW w:type="dxa" w:w="609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Antes de mover, compara lo pedido con lo que hay del lote o del artículo en la ubicación de salida; los lotes Bloqueado, En Inspección o Damaged no cuentan. Si falta en una línea, no se mueve nada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CU-23</w:t>
            </w:r>
          </w:p>
        </w:tc>
        <w:tc>
          <w:tcPr>
            <w:tcW w:type="dxa" w:w="324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Generar ajuste de inventario</w:t>
            </w:r>
          </w:p>
        </w:tc>
        <w:tc>
          <w:tcPr>
            <w:tcW w:type="dxa" w:w="2707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Incluido en: CU-22</w:t>
            </w:r>
          </w:p>
        </w:tc>
        <w:tc>
          <w:tcPr>
            <w:tcW w:type="dxa" w:w="609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Descuenta el material de la misma ubicación contra la cuenta elegida</w:t>
            </w:r>
          </w:p>
        </w:tc>
      </w:tr>
      <w:tr>
        <w:trPr>
          <w:cantSplit/>
        </w:trPr>
        <w:tc>
          <w:tcPr>
            <w:tcW w:type="dxa" w:w="148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CU-10</w:t>
            </w:r>
          </w:p>
        </w:tc>
        <w:tc>
          <w:tcPr>
            <w:tcW w:type="dxa" w:w="324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Corregir o anular solicitud</w:t>
            </w:r>
          </w:p>
        </w:tc>
        <w:tc>
          <w:tcPr>
            <w:tcW w:type="dxa" w:w="2707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Extiende: CU-19</w:t>
            </w:r>
          </w:p>
        </w:tc>
        <w:tc>
          <w:tcPr>
            <w:tcW w:type="dxa" w:w="609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Solo mientras está Pendiente de Procesar: permite corregir fecha, responsable, comentarios y artículos, o anular la solicitud sin mover inventario</w:t>
            </w:r>
          </w:p>
        </w:tc>
      </w:tr>
    </w:tbl>
    <w:p>
      <w:pPr>
        <w:spacing w:after="40"/>
      </w:pPr>
    </w:p>
    <w:p>
      <w:pPr>
        <w:sectPr>
          <w:footerReference w:type="default" r:id="rId16"/>
          <w:pgSz w:h="12240" w:w="15840" w:orient="landscape"/>
          <w:pgMar w:bottom="893" w:top="893" w:left="1152" w:right="1152" w:header="720" w:footer="720"/>
        </w:sectPr>
      </w:pPr>
    </w:p>
    <w:p>
      <w:pPr>
        <w:pStyle w:val="Heading2"/>
      </w:pPr>
      <w:r>
        <w:t>Proceso 4 — Corrección, consulta y configuración</w:t>
      </w:r>
    </w:p>
    <w:p>
      <w:pPr>
        <w:keepNext/>
        <w:spacing w:after="120"/>
      </w:pPr>
      <w:r>
        <w:t>Flujo: Antes de procesar, QF CASPM o Administrator puede corregir o anular cualquier solicitud; una vez procesada, ya no se edita. Cualquier rol consulta las solicitudes e imprime su comprobante. Administrator, además, configura por subsidiaria las entidades receptoras, las cuentas de merma y la bodega de préstamos, que alimentan las listas del registro.</w:t>
      </w:r>
    </w:p>
    <w:p>
      <w:pPr>
        <w:spacing w:after="140"/>
        <w:jc w:val="center"/>
      </w:pPr>
      <w:r>
        <w:drawing>
          <wp:inline>
            <wp:extent cx="7589520" cy="53211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ccionConsultaYConfigurac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89520" cy="532111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4C9"/>
          <w:left w:val="single" w:sz="4" w:color="BFC4C9"/>
          <w:bottom w:val="single" w:sz="4" w:color="BFC4C9"/>
          <w:right w:val="single" w:sz="4" w:color="BFC4C9"/>
          <w:insideH w:val="single" w:sz="4" w:color="BFC4C9"/>
          <w:insideV w:val="single" w:sz="4" w:color="BFC4C9"/>
        </w:tblBorders>
      </w:tblPr>
      <w:tblGrid>
        <w:gridCol w:w="1489"/>
        <w:gridCol w:w="3249"/>
        <w:gridCol w:w="2707"/>
        <w:gridCol w:w="6091"/>
      </w:tblGrid>
      <w:tr>
        <w:trPr>
          <w:cantSplit/>
          <w:tblHeader w:val="true"/>
        </w:trPr>
        <w:tc>
          <w:tcPr>
            <w:tcW w:type="dxa" w:w="1489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7"/>
              </w:rPr>
              <w:t>ID</w:t>
            </w:r>
          </w:p>
        </w:tc>
        <w:tc>
          <w:tcPr>
            <w:tcW w:type="dxa" w:w="3249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7"/>
              </w:rPr>
              <w:t>Caso de uso</w:t>
            </w:r>
          </w:p>
        </w:tc>
        <w:tc>
          <w:tcPr>
            <w:tcW w:type="dxa" w:w="2707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7"/>
              </w:rPr>
              <w:t>Relación</w:t>
            </w:r>
          </w:p>
        </w:tc>
        <w:tc>
          <w:tcPr>
            <w:tcW w:type="dxa" w:w="6091"/>
            <w:vAlign w:val="center"/>
            <w:shd w:fill="5B7C99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FFFFFF"/>
                <w:sz w:val="17"/>
              </w:rPr>
              <w:t>Qué hace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CU-10</w:t>
            </w:r>
          </w:p>
        </w:tc>
        <w:tc>
          <w:tcPr>
            <w:tcW w:type="dxa" w:w="324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Corregir o anular solicitud</w:t>
            </w:r>
          </w:p>
        </w:tc>
        <w:tc>
          <w:tcPr>
            <w:tcW w:type="dxa" w:w="2707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Usa: ACT-01, ACT-02</w:t>
            </w:r>
          </w:p>
        </w:tc>
        <w:tc>
          <w:tcPr>
            <w:tcW w:type="dxa" w:w="609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Solo mientras está Pendiente de Procesar: permite corregir fecha, responsable, comentarios y artículos, o anular la solicitud sin mover inventario</w:t>
            </w:r>
          </w:p>
        </w:tc>
      </w:tr>
      <w:tr>
        <w:trPr>
          <w:cantSplit/>
        </w:trPr>
        <w:tc>
          <w:tcPr>
            <w:tcW w:type="dxa" w:w="148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CU-24</w:t>
            </w:r>
          </w:p>
        </w:tc>
        <w:tc>
          <w:tcPr>
            <w:tcW w:type="dxa" w:w="324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Consultar solicitudes</w:t>
            </w:r>
          </w:p>
        </w:tc>
        <w:tc>
          <w:tcPr>
            <w:tcW w:type="dxa" w:w="2707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Usa: ACT-01, ACT-02, ACT-03</w:t>
            </w:r>
          </w:p>
        </w:tc>
        <w:tc>
          <w:tcPr>
            <w:tcW w:type="dxa" w:w="609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Busca y abre solicitudes: estado, artículos, lotes y movimiento de inventario generado. Un rol de consulta solo puede verlas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CU-25</w:t>
            </w:r>
          </w:p>
        </w:tc>
        <w:tc>
          <w:tcPr>
            <w:tcW w:type="dxa" w:w="324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Imprimir comprobante</w:t>
            </w:r>
          </w:p>
        </w:tc>
        <w:tc>
          <w:tcPr>
            <w:tcW w:type="dxa" w:w="2707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Usa: ACT-01, ACT-02, ACT-03</w:t>
            </w:r>
          </w:p>
        </w:tc>
        <w:tc>
          <w:tcPr>
            <w:tcW w:type="dxa" w:w="609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Genera el PDF con la plantilla del tipo de solicitud, en cualquier estado, incluso anulada</w:t>
            </w:r>
          </w:p>
        </w:tc>
      </w:tr>
      <w:tr>
        <w:trPr>
          <w:cantSplit/>
        </w:trPr>
        <w:tc>
          <w:tcPr>
            <w:tcW w:type="dxa" w:w="148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CU-26</w:t>
            </w:r>
          </w:p>
        </w:tc>
        <w:tc>
          <w:tcPr>
            <w:tcW w:type="dxa" w:w="324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Configurar entidades receptoras</w:t>
            </w:r>
          </w:p>
        </w:tc>
        <w:tc>
          <w:tcPr>
            <w:tcW w:type="dxa" w:w="2707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Usa: ACT-02</w:t>
            </w:r>
          </w:p>
        </w:tc>
        <w:tc>
          <w:tcPr>
            <w:tcW w:type="dxa" w:w="609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Registra las instituciones a las que presta cada subsidiaria; una entidad inactiva deja de aparecer al prestar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CU-27</w:t>
            </w:r>
          </w:p>
        </w:tc>
        <w:tc>
          <w:tcPr>
            <w:tcW w:type="dxa" w:w="324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Configurar cuentas de merma</w:t>
            </w:r>
          </w:p>
        </w:tc>
        <w:tc>
          <w:tcPr>
            <w:tcW w:type="dxa" w:w="2707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Usa: ACT-02</w:t>
            </w:r>
          </w:p>
        </w:tc>
        <w:tc>
          <w:tcPr>
            <w:tcW w:type="dxa" w:w="609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Registra las cuentas contables autorizadas para merma en cada subsidiaria; una cuenta inactiva deja de aparecer</w:t>
            </w:r>
          </w:p>
        </w:tc>
      </w:tr>
      <w:tr>
        <w:trPr>
          <w:cantSplit/>
        </w:trPr>
        <w:tc>
          <w:tcPr>
            <w:tcW w:type="dxa" w:w="148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7"/>
              </w:rPr>
              <w:t>CU-28</w:t>
            </w:r>
          </w:p>
        </w:tc>
        <w:tc>
          <w:tcPr>
            <w:tcW w:type="dxa" w:w="3249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Configurar bodega de préstamos</w:t>
            </w:r>
          </w:p>
        </w:tc>
        <w:tc>
          <w:tcPr>
            <w:tcW w:type="dxa" w:w="2707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Usa: ACT-02</w:t>
            </w:r>
          </w:p>
        </w:tc>
        <w:tc>
          <w:tcPr>
            <w:tcW w:type="dxa" w:w="6091"/>
            <w:vAlign w:val="center"/>
            <w:shd w:fill="F4F6F8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Marca una ubicación por subsidiaria como bodega de préstamos, que el sistema usa como destino al prestar</w:t>
            </w:r>
          </w:p>
        </w:tc>
      </w:tr>
    </w:tbl>
    <w:p>
      <w:pPr>
        <w:spacing w:after="40"/>
      </w:pPr>
    </w:p>
    <w:sectPr>
      <w:footerReference w:type="default" r:id="rId18"/>
      <w:pgSz w:h="12240" w:w="15840" w:orient="landscape"/>
      <w:pgMar w:bottom="893" w:top="893" w:left="1152" w:right="1152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  <w:font w:name="Consola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2">
    <w:pPr>
      <w:tabs>
        <w:tab w:val="right" w:leader="none" w:pos="9000"/>
      </w:tabs>
      <w:spacing w:before="80" w:lineRule="auto"/>
      <w:rPr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389" w:val="right"/>
      </w:tabs>
      <w:spacing w:before="60"/>
      <w:pBdr>
        <w:bottom w:val="single" w:sz="6" w:color="C0C0C0"/>
      </w:pBdr>
    </w:pPr>
    <w:r>
      <w:rPr>
        <w:rFonts w:ascii="Arial" w:hAnsi="Arial"/>
        <w:color w:val="696969"/>
        <w:sz w:val="16"/>
      </w:rPr>
      <w:t>Registro de Solicitud de Inventario</w:t>
    </w:r>
    <w:r>
      <w:tab/>
    </w:r>
    <w:fldSimple w:instr="PAGE"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389" w:val="right"/>
      </w:tabs>
      <w:spacing w:before="60"/>
      <w:pBdr>
        <w:bottom w:val="single" w:sz="6" w:color="C0C0C0"/>
      </w:pBdr>
    </w:pPr>
    <w:r>
      <w:rPr>
        <w:rFonts w:ascii="Arial" w:hAnsi="Arial"/>
        <w:color w:val="696969"/>
        <w:sz w:val="16"/>
      </w:rPr>
      <w:t>Registro de Solicitud de Inventario</w:t>
    </w:r>
    <w:r>
      <w:tab/>
    </w:r>
    <w:fldSimple w:instr="PAGE"/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13536" w:val="right"/>
      </w:tabs>
      <w:spacing w:before="60"/>
      <w:pBdr>
        <w:bottom w:val="single" w:sz="6" w:color="C0C0C0"/>
      </w:pBdr>
    </w:pPr>
    <w:r>
      <w:rPr>
        <w:rFonts w:ascii="Arial" w:hAnsi="Arial"/>
        <w:color w:val="696969"/>
        <w:sz w:val="16"/>
      </w:rPr>
      <w:t>Registro de Solicitud de Inventario</w:t>
    </w:r>
    <w:r>
      <w:tab/>
    </w:r>
    <w:fldSimple w:instr="PAGE"/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13536" w:val="right"/>
      </w:tabs>
      <w:spacing w:before="60"/>
      <w:pBdr>
        <w:bottom w:val="single" w:sz="6" w:color="C0C0C0"/>
      </w:pBdr>
    </w:pPr>
    <w:r>
      <w:rPr>
        <w:rFonts w:ascii="Arial" w:hAnsi="Arial"/>
        <w:color w:val="696969"/>
        <w:sz w:val="16"/>
      </w:rPr>
      <w:t>Registro de Solicitud de Inventario</w:t>
    </w:r>
    <w:r>
      <w:tab/>
    </w:r>
    <w:fldSimple w:instr="PAGE"/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13536" w:val="right"/>
      </w:tabs>
      <w:spacing w:before="60"/>
      <w:pBdr>
        <w:bottom w:val="single" w:sz="6" w:color="C0C0C0"/>
      </w:pBdr>
    </w:pPr>
    <w:r>
      <w:rPr>
        <w:rFonts w:ascii="Arial" w:hAnsi="Arial"/>
        <w:color w:val="696969"/>
        <w:sz w:val="16"/>
      </w:rPr>
      <w:t>Registro de Solicitud de Inventario</w:t>
    </w:r>
    <w:r>
      <w:tab/>
    </w:r>
    <w:fldSimple w:instr="PAGE"/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13536" w:val="right"/>
      </w:tabs>
      <w:spacing w:before="60"/>
      <w:pBdr>
        <w:bottom w:val="single" w:sz="6" w:color="C0C0C0"/>
      </w:pBdr>
    </w:pPr>
    <w:r>
      <w:rPr>
        <w:rFonts w:ascii="Arial" w:hAnsi="Arial"/>
        <w:color w:val="696969"/>
        <w:sz w:val="16"/>
      </w:rPr>
      <w:t>Registro de Solicitud de Inventario</w:t>
    </w:r>
    <w:r>
      <w:tab/>
    </w:r>
    <w:fldSimple w:instr="PAGE"/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20" w:line="269" w:lineRule="auto"/>
    </w:pPr>
    <w:rPr>
      <w:rFonts w:ascii="Arial" w:hAnsi="Arial" w:eastAsia="Arial" w:cs="Arial"/>
      <w:b w:val="0"/>
      <w:color w:val="000000"/>
      <w:sz w:val="20"/>
    </w:rPr>
  </w:style>
  <w:style w:type="paragraph" w:styleId="Heading1">
    <w:name w:val="heading 1"/>
    <w:basedOn w:val="Normal"/>
    <w:next w:val="Normal"/>
    <w:pPr>
      <w:keepNext/>
      <w:keepLines w:val="1"/>
      <w:spacing w:after="140" w:before="280" w:lineRule="auto"/>
    </w:pPr>
    <w:rPr>
      <w:rFonts w:ascii="Arial" w:cs="Arial" w:eastAsia="Arial" w:hAnsi="Arial"/>
      <w:b/>
      <w:bCs w:val="1"/>
      <w:color w:val="000000"/>
      <w:sz w:val="28"/>
      <w:szCs w:val="28"/>
    </w:rPr>
  </w:style>
  <w:style w:type="paragraph" w:styleId="Heading2">
    <w:name w:val="heading 2"/>
    <w:basedOn w:val="Normal"/>
    <w:next w:val="Normal"/>
    <w:pPr>
      <w:keepNext/>
      <w:keepLines w:val="1"/>
      <w:spacing w:after="140" w:before="280" w:lineRule="auto"/>
    </w:pPr>
    <w:rPr>
      <w:rFonts w:ascii="Arial" w:cs="Arial" w:eastAsia="Arial" w:hAnsi="Arial"/>
      <w:b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/>
      <w:keepLines w:val="1"/>
      <w:spacing w:after="140" w:before="280" w:lineRule="auto"/>
    </w:pPr>
    <w:rPr>
      <w:rFonts w:ascii="Arial" w:cs="Arial" w:eastAsia="Arial" w:hAnsi="Arial"/>
      <w:b/>
      <w:bCs w:val="1"/>
      <w:color w:val="000000"/>
      <w:sz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Arial" w:cs="Arial" w:eastAsia="Arial" w:hAnsi="Arial"/>
      <w:b/>
      <w:color w:val="000000"/>
      <w:sz w:val="6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image2.png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footer" Target="footer4.xml"/><Relationship Id="rId13" Type="http://schemas.openxmlformats.org/officeDocument/2006/relationships/image" Target="media/image3.png"/><Relationship Id="rId14" Type="http://schemas.openxmlformats.org/officeDocument/2006/relationships/footer" Target="footer5.xml"/><Relationship Id="rId15" Type="http://schemas.openxmlformats.org/officeDocument/2006/relationships/image" Target="media/image4.png"/><Relationship Id="rId16" Type="http://schemas.openxmlformats.org/officeDocument/2006/relationships/footer" Target="footer6.xml"/><Relationship Id="rId17" Type="http://schemas.openxmlformats.org/officeDocument/2006/relationships/image" Target="media/image5.png"/><Relationship Id="rId18" Type="http://schemas.openxmlformats.org/officeDocument/2006/relationships/footer" Target="footer7.xml"/><Relationship Id="rId19" Type="http://schemas.openxmlformats.org/officeDocument/2006/relationships/image" Target="media/image6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