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План ВКР</w:t>
      </w:r>
    </w:p>
    <w:p>
      <w:pPr>
        <w:pStyle w:val="Heading1"/>
        <w:pageBreakBefore w:val="0"/>
      </w:pPr>
      <w:r>
        <w:t>Тема и цель</w:t>
      </w:r>
    </w:p>
    <w:p>
      <w:r>
        <w:t>Разработка системы алгоритмической торговли криптовалютой с использованием машинного обучения.</w:t>
      </w:r>
    </w:p>
    <w:p>
      <w:r>
        <w:t>Цель — разработать сервис алгоритмической торговли для нескольких криптовалютных инструментов. Он самостоятельно обновляет данные, рассчитывает прогнозы и управляет позициями на виртуальном счёте.</w:t>
      </w:r>
    </w:p>
    <w:p>
      <w:r>
        <w:t>Эксперименты обосновывают выбор модели, признаков и торговых правил. Торговые показатели и надёжность приложения оцениваются отдельно.</w:t>
      </w:r>
    </w:p>
    <w:p>
      <w:r>
        <w:t>Отладка начинается на одной паре. Начальный режим — спот без плеча. Реальные сделки и диалоговый ассистент — расширения после готовности ядра.</w:t>
      </w:r>
    </w:p>
    <w:p>
      <w:pPr>
        <w:pStyle w:val="Heading1"/>
        <w:pageBreakBefore w:val="0"/>
      </w:pPr>
      <w:r>
        <w:t>1. Постановка задачи</w:t>
      </w:r>
    </w:p>
    <w:p>
      <w:r>
        <w:t>Начальная задача модели — прогноз доходности. Определить момент расчёта фичей, цену отсчёта, горизонт и допустимое время сделки.</w:t>
      </w:r>
    </w:p>
    <w:p>
      <w:r>
        <w:t>Задать правило выбора инструментов по ликвидности и покрытию на начало исследуемого периода, без отбора по последующей доходности. Наметить диапазоны таймфреймов, горизонтов и окон обучения. Их продолжительность указывать в календарном времени, а не только в числе свечей.</w:t>
      </w:r>
    </w:p>
    <w:p>
      <w:r>
        <w:t>Разобрать близкие исследования: модели, признаки, методику проверки и учёт торговых расходов. На этой основе составить первые эксперименты.</w:t>
      </w:r>
    </w:p>
    <w:p>
      <w:r>
        <w:t>Пробными запросами к API проверить покрытие, задержки, лимиты и условия использования. Оценить достаточность истории для намеченных экспериментов.</w:t>
      </w:r>
    </w:p>
    <w:p>
      <w:pPr>
        <w:pStyle w:val="Heading1"/>
        <w:pageBreakBefore w:val="0"/>
      </w:pPr>
      <w:r>
        <w:t>2. Сбор и подготовка данных</w:t>
      </w:r>
    </w:p>
    <w:p>
      <w:r>
        <w:t>Написать загрузчики истории и регулярного обновления через API. Сохранять исходные ответы и последнюю записанную точку для продолжения после остановки.</w:t>
      </w:r>
    </w:p>
    <w:p>
      <w:r>
        <w:t>Собирать цены, объёмы и первые ончейн-показатели, например число транзакций и объёмы переводов. Для каждой метрики указать актив, источник и способ расчёта: самостоятельно из записей сети или на стороне поставщика.</w:t>
      </w:r>
    </w:p>
    <w:p>
      <w:r>
        <w:t>В пайплайне предусмотреть:</w:t>
      </w:r>
    </w:p>
    <w:p>
      <w:pPr>
        <w:pStyle w:val="ListBullet"/>
      </w:pPr>
      <w:r>
        <w:t>Загрузку нескольких инструментов с сохранением параметров запросов, времени события, публикации и получения — где эти поля доступны.</w:t>
      </w:r>
    </w:p>
    <w:p>
      <w:pPr>
        <w:pStyle w:val="ListBullet"/>
      </w:pPr>
      <w:r>
        <w:t>Приведение времени к UTC, обработку повторов, пропусков и ошибок запросов.</w:t>
      </w:r>
    </w:p>
    <w:p>
      <w:pPr>
        <w:pStyle w:val="ListBullet"/>
      </w:pPr>
      <w:r>
        <w:t>Разделение исходных записей, очищенных таблиц и рассчитанных признаков.</w:t>
      </w:r>
    </w:p>
    <w:p>
      <w:pPr>
        <w:pStyle w:val="ListBullet"/>
      </w:pPr>
      <w:r>
        <w:t>Объединение источников в той версии, которая была доступна на момент решения, с учётом публикаций и пересмотров.</w:t>
      </w:r>
    </w:p>
    <w:p>
      <w:pPr>
        <w:pStyle w:val="ListBullet"/>
      </w:pPr>
      <w:r>
        <w:t>Повторную сборку датасета для разных свечей, окон и горизонтов.</w:t>
      </w:r>
    </w:p>
    <w:p>
      <w:r>
        <w:t>Из исходной детализации собрать нужные свечи и рассчитать лаги доходности, волатильность, изменения объёмов, индикаторы и дополнительные фичи. Учитывать возраст редких обновлений. Значения с неподтверждённым временем доступности исключить из бэктеста до проверки.</w:t>
      </w:r>
    </w:p>
    <w:p>
      <w:r>
        <w:t>После первых сравнений можно добавить новости или соцсети: загрузку публикаций, обработку текстов и расчёт соответствующих фичей.</w:t>
      </w:r>
    </w:p>
    <w:p>
      <w:pPr>
        <w:pStyle w:val="Heading1"/>
        <w:pageBreakBefore w:val="0"/>
      </w:pPr>
      <w:r>
        <w:t>3. Первый бустинг и бэктест</w:t>
      </w:r>
    </w:p>
    <w:p>
      <w:r>
        <w:t>До первых запусков отделить финальный тест и задать временные разбиения для обучения и подбора. Исключить утечки через границы выборок с учётом проверяемых горизонтов. При совместном обучении нескольких инструментов использовать общее разбиение по времени. Преобразования и отбор признаков настраивать только на обучающей части.</w:t>
      </w:r>
    </w:p>
    <w:p>
      <w:r>
        <w:t>Обучить градиентный бустинг, например CatBoost, сразу с рыночными и дополнительными фичами. Указать схему обучения: отдельно по инструментам или совместно.</w:t>
      </w:r>
    </w:p>
    <w:p>
      <w:r>
        <w:t>Реализовать бэктест с учётом средств, позиций и сделок. Начать с рыночных заявок: исполнение после появления сигнала по следующей доступной цене. Учесть комиссию, спред, проскальзывание и ограничения размера заявки. Для расходов без исторических наблюдений задать явные сценарные допущения.</w:t>
      </w:r>
    </w:p>
    <w:p>
      <w:r>
        <w:t>Задать пороги входа и выхода, размер позиции, срок удержания и правила обработки одновременных и повторных сигналов. Вручную проверить покупки, продажи, комиссии и недостаток средств.</w:t>
      </w:r>
    </w:p>
    <w:p>
      <w:r>
        <w:t>Сохранить ошибку прогноза, кривую капитала, доходность после расходов, просадку, Шарп, оборот и число сделок. Описать частоту расчёта портфельной доходности и приведение метрик к общей временной шкале. Сопоставить с удержанием актива и простой технической стратегией при одинаковом начальном капитале.</w:t>
      </w:r>
    </w:p>
    <w:p>
      <w:pPr>
        <w:pStyle w:val="Heading1"/>
        <w:pageBreakBefore w:val="0"/>
      </w:pPr>
      <w:r>
        <w:t>4. Развитие моделей и стратегии</w:t>
      </w:r>
    </w:p>
    <w:p>
      <w:r>
        <w:t>До подбора задать критерий выбора конфигурации. Рабочий вариант — доходность после расходов при заданном ограничении просадки, с учётом разброса по временным отрезкам. Ограничить бюджет поиска.</w:t>
      </w:r>
    </w:p>
    <w:p>
      <w:r>
        <w:t>Проводить эксперименты по трём направлениям:</w:t>
      </w:r>
    </w:p>
    <w:p>
      <w:pPr>
        <w:pStyle w:val="ListNumber"/>
        <w:numPr>
          <w:ilvl w:val="0"/>
          <w:numId w:val="10"/>
        </w:numPr>
      </w:pPr>
      <w:r>
        <w:t>Временные настройки: таймфрейм свечей, горизонт прогноза, окна фичей, длина обучения и частота переобучения. Начать с ограниченной сетки, затем уточнять перспективные варианты.</w:t>
      </w:r>
    </w:p>
    <w:p>
      <w:pPr>
        <w:pStyle w:val="ListNumber"/>
        <w:numPr>
          <w:ilvl w:val="0"/>
          <w:numId w:val="10"/>
        </w:numPr>
      </w:pPr>
      <w:r>
        <w:t>Признаки: сравнение рыночного и расширенного наборов, отключение групп, добавление новых показателей. Повторить основные сравнения на нескольких инструментах и временных масштабах.</w:t>
      </w:r>
    </w:p>
    <w:p>
      <w:pPr>
        <w:pStyle w:val="ListNumber"/>
        <w:numPr>
          <w:ilvl w:val="0"/>
          <w:numId w:val="10"/>
        </w:numPr>
      </w:pPr>
      <w:r>
        <w:t>Модели: настройка бустинга и сравнение других подходов на тех же выборках.</w:t>
      </w:r>
    </w:p>
    <w:p>
      <w:r>
        <w:t>При исключении группы признаков повторно обучать модель на оставшемся наборе. Сначала сравнить при неизменных гиперпараметрах, затем отдельно проверить результат повторного подбора. В каждом сравнении использовать общий доступный период.</w:t>
      </w:r>
    </w:p>
    <w:p>
      <w:r>
        <w:t>Использовать последовательные временные разбиения: подбор на предшествующей истории, оценку — на следующем отрезке. Для кандидатов сохранять общие периоды оценки, риск-лимиты и методику учёта расходов; окна и таймфреймы могут различаться.</w:t>
      </w:r>
    </w:p>
    <w:p>
      <w:r>
        <w:t>Представить показатели отдельно по инструментам и периодам. Сохранять все запуски с настройками, версиями кода и датасета, метриками и выводами.</w:t>
      </w:r>
    </w:p>
    <w:p>
      <w:r>
        <w:t>На валидации подобрать торговые пороги и размер позиции в пределах заданных риск-лимитов. При одновременной торговле учитывать общий капитал и суммарные позиции.</w:t>
      </w:r>
    </w:p>
    <w:p>
      <w:r>
        <w:t>Перед итоговой оценкой зафиксировать алгоритм, признаки, временные настройки, правила переобучения и торговли. При плановом переобучении использовать только уже доступные наблюдения и ответы. Провести финальный тест и заранее заданные сценарии расходов и задержек. По его результатам настройки больше не менять.</w:t>
      </w:r>
    </w:p>
    <w:p>
      <w:pPr>
        <w:pStyle w:val="Heading1"/>
        <w:pageBreakBefore w:val="0"/>
      </w:pPr>
      <w:r>
        <w:t>5. Сервис и бумажная торговля</w:t>
      </w:r>
    </w:p>
    <w:p>
      <w:r>
        <w:t>Собрать сервис с запуском по расписанию на общих с бэктестом модулях. Перед торговым шагом проверять готовность входов и версию модели.</w:t>
      </w:r>
    </w:p>
    <w:p>
      <w:r>
        <w:t>Реализовать:</w:t>
      </w:r>
    </w:p>
    <w:p>
      <w:pPr>
        <w:pStyle w:val="ListBullet"/>
      </w:pPr>
      <w:r>
        <w:t>Обновление источников и отказ от новых входов при неполной или устаревшей информации.</w:t>
      </w:r>
    </w:p>
    <w:p>
      <w:pPr>
        <w:pStyle w:val="ListBullet"/>
      </w:pPr>
      <w:r>
        <w:t>Получение прогнозов и управление виртуальными позициями.</w:t>
      </w:r>
    </w:p>
    <w:p>
      <w:pPr>
        <w:pStyle w:val="ListBullet"/>
      </w:pPr>
      <w:r>
        <w:t>Ограничения риска по инструментам и портфелю.</w:t>
      </w:r>
    </w:p>
    <w:p>
      <w:pPr>
        <w:pStyle w:val="ListBullet"/>
      </w:pPr>
      <w:r>
        <w:t>Хранение средств, позиций, обработанных интервалов и идентификаторов операций для восстановления без повторных сделок.</w:t>
      </w:r>
    </w:p>
    <w:p>
      <w:pPr>
        <w:pStyle w:val="ListBullet"/>
      </w:pPr>
      <w:r>
        <w:t>Журнал прогнозов, решений, сделок и ошибок с указанием версии модели.</w:t>
      </w:r>
    </w:p>
    <w:p>
      <w:pPr>
        <w:pStyle w:val="ListBullet"/>
      </w:pPr>
      <w:r>
        <w:t>API и интерфейс для просмотра работы системы.</w:t>
      </w:r>
    </w:p>
    <w:p>
      <w:r>
        <w:t>Сопоставить решения приложения и бэктеста при одинаковых входах, модели и состоянии счёта. Протестировать недоступность источника, повторную обработку интервала и остановку между решением и записью сделки.</w:t>
      </w:r>
    </w:p>
    <w:p>
      <w:r>
        <w:t>Задать правила работы с открытыми позициями при сбоях и условия возобновления. Версионировать модель вместе с преобразованиями и торговой конфигурацией.</w:t>
      </w:r>
    </w:p>
    <w:p>
      <w:r>
        <w:t>Подготовить контейнерный запуск, автоматические тесты и инструкцию.</w:t>
      </w:r>
    </w:p>
    <w:p>
      <w:r>
        <w:t>Провести бумажную торговлю и разобрать технические сбои, задержки и расхождения с исторической симуляцией. Период наблюдения выбрать с учётом частоты сигналов и сроков ВКР; короткий запуск с малым числом сделок не считать подтверждением доходности.</w:t>
      </w:r>
    </w:p>
    <w:p>
      <w:pPr>
        <w:pStyle w:val="Heading1"/>
        <w:pageBreakBefore w:val="0"/>
      </w:pPr>
      <w:r>
        <w:t>6. Текст ВКР и защита</w:t>
      </w:r>
    </w:p>
    <w:p>
      <w:r>
        <w:t>Писать текст параллельно разработке: постановку и обзор, описание сбора, методику экспериментов, сравнения, стратегию, реализацию и результаты.</w:t>
      </w:r>
    </w:p>
    <w:p>
      <w:r>
        <w:t>Таблицы и графики формировать из сохранённых экспериментов.</w:t>
      </w:r>
    </w:p>
    <w:p>
      <w:r>
        <w:t>К защите подготовить демонстрацию полного цикла и резервный запуск на сохранённых записях.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0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2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160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59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59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выполнения ВКР по алгоритмической торговле</dc:title>
  <dc:subject/>
  <dc:creator>Ярослав Следевский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