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План выполнения выпускной квалификационной работы</w:t>
      </w:r>
    </w:p>
    <w:p>
      <w:pPr>
        <w:pStyle w:val="Heading1"/>
        <w:pageBreakBefore w:val="0"/>
      </w:pPr>
      <w:r>
        <w:t>Цель и логика работы</w:t>
      </w:r>
    </w:p>
    <w:p>
      <w:r>
        <w:t>Рабочая тема — «Разработка системы алгоритмической торговли криптовалютой с использованием машинного обучения».</w:t>
      </w:r>
    </w:p>
    <w:p>
      <w:r>
        <w:t>Автор — Ярослав Следевский. План от 16 октября 2026 года. Формат — программная ВКР с исследовательской частью. Ниже описан предлагаемый ход работы; параметры первой версии и календарные даты согласуются с руководителем.</w:t>
      </w:r>
    </w:p>
    <w:p>
      <w:r>
        <w:t>Итоговый продукт — система, которая получает новые данные, рассчитывает прогноз, принимает решение по позиции и исполняет его с учётом ограничений риска. На защите нужно показать весь этот цикл, историю операций и результаты проверки стратегии.</w:t>
      </w:r>
    </w:p>
    <w:p>
      <w:r>
        <w:t>Работу построю вокруг постепенно развивающегося прототипа. Сначала получу простой бэктест на котировках. Затем проверю, что меняют модели машинного обучения и дополнительные данные. Выбранный подход перенесу в сервис и запущу на поступающей информации. Так исследование будет определять устройство продукта, а разработка — проверять, можно ли использовать исследовательский код в работе приложения.</w:t>
      </w:r>
    </w:p>
    <w:p>
      <w:r>
        <w:t>Основной вопрос исследования — дают ли выбранные модели и признаки преимущество перед простыми торговыми решениями и насколько устойчиво оно на будущих для модели периодах. Преимущество оценивается вместе с расходами, просадкой и временем нахождения в позиции.</w:t>
      </w:r>
    </w:p>
    <w:p>
      <w:r>
        <w:t>Для первой версии предлагаю BTC/USDT, спот без плеча и действия «купить», «удерживать», «продать» или «остаться вне позиции». Стартовое допущение — часовые свечи и прогноз на следующие сутки. Эти параметры проверю на первом этапе и зафиксирую до сравнения моделей. Более редкие источники будут использоваться с учётом времени публикации, без имитации новых наблюдений каждый час.</w:t>
      </w:r>
    </w:p>
    <w:p>
      <w:r>
        <w:t>Обязательный запуск — бумажная торговля. Реальная биржа, второй актив и диалоговый ассистент возможны после готового ядра. Устойчивую прибыль заранее не предполагаю: вывод должен следовать из экспериментов, а приложение — выполнять заявленные функции независимо от знака доходности.</w:t>
      </w:r>
    </w:p>
    <w:p>
      <w:pPr>
        <w:pStyle w:val="Heading1"/>
        <w:pageBreakBefore w:val="0"/>
      </w:pPr>
      <w:r>
        <w:t>Этап 1 Постановка задачи и выбор подхода</w:t>
      </w:r>
    </w:p>
    <w:p>
      <w:r>
        <w:t>На первом этапе нужно превратить общую идею в задачу с понятными границами. Обзор литературы и короткая проверка источников идут вместе: выбранный метод должен подходить к данным, которые реально получить.</w:t>
      </w:r>
    </w:p>
    <w:p>
      <w:pPr>
        <w:pStyle w:val="ListNumber"/>
        <w:numPr>
          <w:ilvl w:val="0"/>
          <w:numId w:val="10"/>
        </w:numPr>
      </w:pPr>
      <w:r>
        <w:t>Описать сценарий продукта: какие данные приходят, когда принимается решение, какие действия разрешены и что пользователь видит в интерфейсе.</w:t>
      </w:r>
    </w:p>
    <w:p>
      <w:pPr>
        <w:pStyle w:val="ListNumber"/>
        <w:numPr>
          <w:ilvl w:val="0"/>
          <w:numId w:val="10"/>
        </w:numPr>
      </w:pPr>
      <w:r>
        <w:t>Подтвердить актив, рынок, горизонт прогноза и частоту расчётов. Сразу отделить обязательный результат от расширений.</w:t>
      </w:r>
    </w:p>
    <w:p>
      <w:pPr>
        <w:pStyle w:val="ListNumber"/>
        <w:numPr>
          <w:ilvl w:val="0"/>
          <w:numId w:val="10"/>
        </w:numPr>
      </w:pPr>
      <w:r>
        <w:t>Изучить работы по финансовым временным рядам, торговым стратегиям и использованию разных источников информации. Для начала достаточно разобрать 5–8 близких работ подробно, расширяя список по мере необходимости.</w:t>
      </w:r>
    </w:p>
    <w:p>
      <w:pPr>
        <w:pStyle w:val="ListNumber"/>
        <w:numPr>
          <w:ilvl w:val="0"/>
          <w:numId w:val="10"/>
        </w:numPr>
      </w:pPr>
      <w:r>
        <w:t>Сопоставить способы проверки в этих работах: временное разбиение, торговые издержки, базовые стратегии и риск переобучения.</w:t>
      </w:r>
    </w:p>
    <w:p>
      <w:pPr>
        <w:pStyle w:val="ListNumber"/>
        <w:numPr>
          <w:ilvl w:val="0"/>
          <w:numId w:val="10"/>
        </w:numPr>
      </w:pPr>
      <w:r>
        <w:t>Проверить небольшие выгрузки из потенциальных источников: доступность, покрытие истории, частоту и задержку публикации.</w:t>
      </w:r>
    </w:p>
    <w:p>
      <w:pPr>
        <w:pStyle w:val="ListNumber"/>
        <w:numPr>
          <w:ilvl w:val="0"/>
          <w:numId w:val="10"/>
        </w:numPr>
      </w:pPr>
      <w:r>
        <w:t>Получить актуальные требования кафедры, сроки сдачи и требования к инфраструктуре. Сопоставить их с предлагаемым объёмом разработки.</w:t>
      </w:r>
    </w:p>
    <w:p>
      <w:r>
        <w:t>По итогам подготовлю краткую постановку, таблицу разобранных работ и список источников с предварительной оценкой доступности. Во введении появятся цель, задачи и описание ожидаемого продукта.</w:t>
      </w:r>
    </w:p>
    <w:p>
      <w:r>
        <w:t>Этап завершён, когда определены параметры первой версии и есть хотя бы один подходящий источник рыночной истории. С руководителем согласуются тема и границы. Дальше начинается сбор конкретного датасета, а обзор остаётся рабочим материалом и дополняется при появлении новых вопросов.</w:t>
      </w:r>
    </w:p>
    <w:p>
      <w:pPr>
        <w:pStyle w:val="Heading1"/>
        <w:pageBreakBefore w:val="0"/>
      </w:pPr>
      <w:r>
        <w:t>Этап 2 Рыночные данные и воспроизводимая подготовка</w:t>
      </w:r>
    </w:p>
    <w:p>
      <w:r>
        <w:t>Первый датасет нужен для работающей базы. Начну с котировок и объёмов, чтобы получить полный путь от исходных записей до торговой проверки без зависимости от дополнительных поставщиков.</w:t>
      </w:r>
    </w:p>
    <w:p>
      <w:pPr>
        <w:pStyle w:val="ListNumber"/>
        <w:numPr>
          <w:ilvl w:val="0"/>
          <w:numId w:val="11"/>
        </w:numPr>
      </w:pPr>
      <w:r>
        <w:t>Выгрузить доступную историю свечей. Период выбрать по покрытию источника и наличию разных рыночных условий; точные даты сохранить в настройках.</w:t>
      </w:r>
    </w:p>
    <w:p>
      <w:pPr>
        <w:pStyle w:val="ListNumber"/>
        <w:numPr>
          <w:ilvl w:val="0"/>
          <w:numId w:val="11"/>
        </w:numPr>
      </w:pPr>
      <w:r>
        <w:t>Сохранить исходные файлы и параметры запросов. Привести время к UTC, проверить сортировку, дубликаты, пропуски и подозрительные значения.</w:t>
      </w:r>
    </w:p>
    <w:p>
      <w:pPr>
        <w:pStyle w:val="ListNumber"/>
        <w:numPr>
          <w:ilvl w:val="0"/>
          <w:numId w:val="11"/>
        </w:numPr>
      </w:pPr>
      <w:r>
        <w:t>Описать правила обработки: какие интервалы исключаются, как обрабатываются пропуски и какие исправления допустимы.</w:t>
      </w:r>
    </w:p>
    <w:p>
      <w:pPr>
        <w:pStyle w:val="ListNumber"/>
        <w:numPr>
          <w:ilvl w:val="0"/>
          <w:numId w:val="11"/>
        </w:numPr>
      </w:pPr>
      <w:r>
        <w:t>Рассчитать начальные признаки: лаги доходности, скользящие статистики, волатильность, изменения объёма и небольшой набор технических индикаторов.</w:t>
      </w:r>
    </w:p>
    <w:p>
      <w:pPr>
        <w:pStyle w:val="ListNumber"/>
        <w:numPr>
          <w:ilvl w:val="0"/>
          <w:numId w:val="11"/>
        </w:numPr>
      </w:pPr>
      <w:r>
        <w:t>Сформировать целевую переменную. Для стартовой классификации — знак доходности за следующие сутки; будущие значения используются только как ответ для обучения, а не как вход модели.</w:t>
      </w:r>
    </w:p>
    <w:p>
      <w:pPr>
        <w:pStyle w:val="ListNumber"/>
        <w:numPr>
          <w:ilvl w:val="0"/>
          <w:numId w:val="11"/>
        </w:numPr>
      </w:pPr>
      <w:r>
        <w:t>Вынести загрузку и расчёты в повторяемый пайплайн, сохранить версию датасета и добавить проверки временных лагов.</w:t>
      </w:r>
    </w:p>
    <w:p>
      <w:r>
        <w:t>На выходе получатся исходная история, подготовленная таблица признаков и ответов, описание колонок и команда повторного получения данных. Большие файлы будут храниться отдельно от Git, а код и настройки — в репозитории.</w:t>
      </w:r>
    </w:p>
    <w:p>
      <w:r>
        <w:t>К следующему этапу перейду, когда датасет можно пересобрать и объяснить происхождение каждой колонки. Строки, для которых нет полной истории признаков или будущего ответа, не должны незаметно попадать в расчёты. Главу о данных начну писать по этой версии, позже добавляя новые источники.</w:t>
      </w:r>
    </w:p>
    <w:p>
      <w:pPr>
        <w:pStyle w:val="Heading1"/>
        <w:pageBreakBefore w:val="0"/>
      </w:pPr>
      <w:r>
        <w:t>Этап 3 Первый бэктест и правила проверки</w:t>
      </w:r>
    </w:p>
    <w:p>
      <w:r>
        <w:t>Теперь нужно получить исходный результат, с которым можно сравнивать улучшения. Поэтому до сложных моделей соберу простой симулятор торговли и зафиксирую методику экспериментов.</w:t>
      </w:r>
    </w:p>
    <w:p>
      <w:pPr>
        <w:pStyle w:val="ListNumber"/>
        <w:numPr>
          <w:ilvl w:val="0"/>
          <w:numId w:val="12"/>
        </w:numPr>
      </w:pPr>
      <w:r>
        <w:t>Разделить историю по времени на обучение, валидацию и отдельный финальный тест. Для оценки устойчивости задать несколько последовательных окон. При пересечении горизонтов ответов предусмотреть временные разрывы.</w:t>
      </w:r>
    </w:p>
    <w:p>
      <w:pPr>
        <w:pStyle w:val="ListNumber"/>
        <w:numPr>
          <w:ilvl w:val="0"/>
          <w:numId w:val="12"/>
        </w:numPr>
      </w:pPr>
      <w:r>
        <w:t>Реализовать учёт денег, количества актива, заявок и сделок. Описать начальный капитал, допустимые действия и способ оценки портфеля.</w:t>
      </w:r>
    </w:p>
    <w:p>
      <w:pPr>
        <w:pStyle w:val="ListNumber"/>
        <w:numPr>
          <w:ilvl w:val="0"/>
          <w:numId w:val="12"/>
        </w:numPr>
      </w:pPr>
      <w:r>
        <w:t>Добавить простую техническую стратегию, удержание актива и вариант без торговли. Они станут ориентирами по доходности и риску.</w:t>
      </w:r>
    </w:p>
    <w:p>
      <w:pPr>
        <w:pStyle w:val="ListNumber"/>
        <w:numPr>
          <w:ilvl w:val="0"/>
          <w:numId w:val="12"/>
        </w:numPr>
      </w:pPr>
      <w:r>
        <w:t>Задать модель исполнения: после какого момента доступен сигнал, по какой следующей доступной цене проходит сделка, как учитываются задержка, комиссия, спред и проскальзывание.</w:t>
      </w:r>
    </w:p>
    <w:p>
      <w:pPr>
        <w:pStyle w:val="ListNumber"/>
        <w:numPr>
          <w:ilvl w:val="0"/>
          <w:numId w:val="12"/>
        </w:numPr>
      </w:pPr>
      <w:r>
        <w:t>Подготовить общий отчёт: кривая стоимости портфеля, доходность после расходов, максимальная просадка, коэффициент Шарпа, оборот, экспозиция и число сделок.</w:t>
      </w:r>
    </w:p>
    <w:p>
      <w:pPr>
        <w:pStyle w:val="ListNumber"/>
        <w:numPr>
          <w:ilvl w:val="0"/>
          <w:numId w:val="12"/>
        </w:numPr>
      </w:pPr>
      <w:r>
        <w:t>Проверить симулятор на коротких примерах с заранее понятным результатом: покупка и продажа, комиссия, нехватка средств, повторная заявка и выход из позиции.</w:t>
      </w:r>
    </w:p>
    <w:p>
      <w:r>
        <w:t>После этого появится первый работающий бэктест и файл с правилами будущих сравнений. В нём будут даты выборок, допущения исполнения, метрики и ограничения. Конкретные расходы нужно обосновать условиями выбранной площадки и дополнить проверкой чувствительности.</w:t>
      </w:r>
    </w:p>
    <w:p>
      <w:r>
        <w:t>Условие перехода дальше — понятный расчёт портфеля и воспроизводимый отчёт для базовых стратегий. Все следующие модели используют этот же механизм проверки. Если изменить его позднее, связанные сравнения нужно пересчитать; иначе прирост нельзя будет приписать модели или новым данным.</w:t>
      </w:r>
    </w:p>
    <w:p>
      <w:pPr>
        <w:pStyle w:val="Heading1"/>
        <w:pageBreakBefore w:val="0"/>
      </w:pPr>
      <w:r>
        <w:t>Этап 4 Модели на базовом наборе данных</w:t>
      </w:r>
    </w:p>
    <w:p>
      <w:r>
        <w:t>На этом этапе проверю, может ли машинное обучение улучшить результат уже собранной системы. Набор данных и условия бэктеста пока остаются общими, чтобы различия можно было связать с методом прогнозирования.</w:t>
      </w:r>
    </w:p>
    <w:p>
      <w:pPr>
        <w:pStyle w:val="ListNumber"/>
        <w:numPr>
          <w:ilvl w:val="0"/>
          <w:numId w:val="13"/>
        </w:numPr>
      </w:pPr>
      <w:r>
        <w:t>Обучить простую модель, например логистическую регрессию, затем градиентный бустинг. Модель последовательностей добавлять только при достаточном объёме данных и времени на полноценное сравнение.</w:t>
      </w:r>
    </w:p>
    <w:p>
      <w:pPr>
        <w:pStyle w:val="ListNumber"/>
        <w:numPr>
          <w:ilvl w:val="0"/>
          <w:numId w:val="13"/>
        </w:numPr>
      </w:pPr>
      <w:r>
        <w:t>Настраивать нормализацию, отбор признаков и остальные обучаемые преобразования только на разрешённых участках. Не использовать финальный тест для выбора.</w:t>
      </w:r>
    </w:p>
    <w:p>
      <w:pPr>
        <w:pStyle w:val="ListNumber"/>
        <w:numPr>
          <w:ilvl w:val="0"/>
          <w:numId w:val="13"/>
        </w:numPr>
      </w:pPr>
      <w:r>
        <w:t>Сравнить прогнозы по логарифмической потере, оценке Брайера и ROC AUC. Проверить калибровку вероятностей, если уверенность будет влиять на сделки.</w:t>
      </w:r>
    </w:p>
    <w:p>
      <w:pPr>
        <w:pStyle w:val="ListNumber"/>
        <w:numPr>
          <w:ilvl w:val="0"/>
          <w:numId w:val="13"/>
        </w:numPr>
      </w:pPr>
      <w:r>
        <w:t>Подключить прогнозы к одним и тем же предварительным торговым правилам. Посмотреть отдельно на качество прогноза и на результат торговли.</w:t>
      </w:r>
    </w:p>
    <w:p>
      <w:pPr>
        <w:pStyle w:val="ListNumber"/>
        <w:numPr>
          <w:ilvl w:val="0"/>
          <w:numId w:val="13"/>
        </w:numPr>
      </w:pPr>
      <w:r>
        <w:t>Ограничить число подбираемых конфигураций и сохранять все запуски, включая неудачные. Для каждого указать версию данных, коммит, параметры и отчёт.</w:t>
      </w:r>
    </w:p>
    <w:p>
      <w:pPr>
        <w:pStyle w:val="ListNumber"/>
        <w:numPr>
          <w:ilvl w:val="0"/>
          <w:numId w:val="13"/>
        </w:numPr>
      </w:pPr>
      <w:r>
        <w:t>Проверить разброс результатов по временным окнам и выбрать базовую модель для следующего этапа.</w:t>
      </w:r>
    </w:p>
    <w:p>
      <w:r>
        <w:t>Результат — таблица моделей, их прогнозных и торговых показателей и объяснение выбора. Если более сложный метод не даёт убедительного улучшения, в дальнейшую работу пойдёт более простое решение.</w:t>
      </w:r>
    </w:p>
    <w:p>
      <w:r>
        <w:t>Этот этап заканчивается выбором базовой конфигурации без просмотра финального теста. Именно с ней будут сравниваться дополнительные признаки. В экспериментальной главе появится первая содержательная часть: условия сравнения, полученные результаты и ограничения.</w:t>
      </w:r>
    </w:p>
    <w:p>
      <w:pPr>
        <w:pStyle w:val="Heading1"/>
        <w:pageBreakBefore w:val="0"/>
      </w:pPr>
      <w:r>
        <w:t>Этап 5 Дополнительные источники и вклад признаков</w:t>
      </w:r>
    </w:p>
    <w:p>
      <w:r>
        <w:t>К этому моменту уже есть рабочая база. Теперь можно проверить, какой информации ей не хватает и оправдывает ли улучшение сложность сбора новых данных.</w:t>
      </w:r>
    </w:p>
    <w:p>
      <w:r>
        <w:t>Кандидаты — новости, публикации в соцсетях и ончейн-данные. Для текстов можно исследовать тональность и активность обсуждений, для блокчейна — переводы, транзакции и сетевые показатели. Состав первого расширения определю по доступности истории, понятности показателей и возможности получать их после запуска.</w:t>
      </w:r>
    </w:p>
    <w:p>
      <w:pPr>
        <w:pStyle w:val="ListNumber"/>
        <w:numPr>
          <w:ilvl w:val="0"/>
          <w:numId w:val="14"/>
        </w:numPr>
      </w:pPr>
      <w:r>
        <w:t>Выбрать один–два источника для первого сравнения. Зафиксировать определения показателей, частоту, задержку публикации и возможные пересмотры истории.</w:t>
      </w:r>
    </w:p>
    <w:p>
      <w:pPr>
        <w:pStyle w:val="ListNumber"/>
        <w:numPr>
          <w:ilvl w:val="0"/>
          <w:numId w:val="14"/>
        </w:numPr>
      </w:pPr>
      <w:r>
        <w:t>Добавить загрузку и обработку к существующему пайплайну. Для текстов сохранить время публикации, удалить дубликаты и получить выбранные числовые признаки.</w:t>
      </w:r>
    </w:p>
    <w:p>
      <w:pPr>
        <w:pStyle w:val="ListNumber"/>
        <w:numPr>
          <w:ilvl w:val="0"/>
          <w:numId w:val="14"/>
        </w:numPr>
      </w:pPr>
      <w:r>
        <w:t>Объединить записи по времени фактической доступности. Редко обновляемое значение может сохраняться между публикациями, но не считается новым независимым наблюдением.</w:t>
      </w:r>
    </w:p>
    <w:p>
      <w:pPr>
        <w:pStyle w:val="ListNumber"/>
        <w:numPr>
          <w:ilvl w:val="0"/>
          <w:numId w:val="14"/>
        </w:numPr>
      </w:pPr>
      <w:r>
        <w:t>Сравнить базовый набор с добавлением каждого источника и их сочетаний. При сокращении общей истории пересчитать базовую модель на том же участке.</w:t>
      </w:r>
    </w:p>
    <w:p>
      <w:pPr>
        <w:pStyle w:val="ListNumber"/>
        <w:numPr>
          <w:ilvl w:val="0"/>
          <w:numId w:val="14"/>
        </w:numPr>
      </w:pPr>
      <w:r>
        <w:t>Использовать одинаковые временные окна, сопоставимый бюджет настройки и общий бэктест. Отдельно оценить устойчивость прироста; при необходимости использовать блочный бутстрэп.</w:t>
      </w:r>
    </w:p>
    <w:p>
      <w:pPr>
        <w:pStyle w:val="ListNumber"/>
        <w:numPr>
          <w:ilvl w:val="0"/>
          <w:numId w:val="14"/>
        </w:numPr>
      </w:pPr>
      <w:r>
        <w:t>Удалять группы признаков из объединённой модели, чтобы понять их вклад. Сохранить не только лучший запуск, но и общую картину результатов.</w:t>
      </w:r>
    </w:p>
    <w:p>
      <w:r>
        <w:t>Итог — решение, какие данные оставить в продукте, а какие не оправдали себя или оказались слишком дорогими в поддержке. Причина выбора должна опираться на эксперименты и ограничения источника.</w:t>
      </w:r>
    </w:p>
    <w:p>
      <w:r>
        <w:t>Следующий этап использует выбранную комбинацию данных и модели. Если расширение не помогло, можно продолжить с базовым набором: исследовательский вопрос всё равно получает ответ. В тексте ВКР этот этап оформляется как сравнение источников, а не как заранее доказанная польза одного из них.</w:t>
      </w:r>
    </w:p>
    <w:p>
      <w:pPr>
        <w:pStyle w:val="Heading1"/>
        <w:pageBreakBefore w:val="0"/>
      </w:pPr>
      <w:r>
        <w:t>Этап 6 Торговая стратегия и итоговая оценка</w:t>
      </w:r>
    </w:p>
    <w:p>
      <w:r>
        <w:t>До этого прогнозы сравнивались в общих условиях. Теперь выбранную модель нужно превратить в законченную стратегию и проверить весь подход на отложенной истории.</w:t>
      </w:r>
    </w:p>
    <w:p>
      <w:pPr>
        <w:pStyle w:val="ListNumber"/>
        <w:numPr>
          <w:ilvl w:val="0"/>
          <w:numId w:val="15"/>
        </w:numPr>
      </w:pPr>
      <w:r>
        <w:t>Определить, как вероятность прогноза задаёт целевую позицию: порог входа, условие удержания и условие выхода. Разные пороги входа и выхода можно проверить как способ сократить лишние переключения.</w:t>
      </w:r>
    </w:p>
    <w:p>
      <w:pPr>
        <w:pStyle w:val="ListNumber"/>
        <w:numPr>
          <w:ilvl w:val="0"/>
          <w:numId w:val="15"/>
        </w:numPr>
      </w:pPr>
      <w:r>
        <w:t>Выбрать способ расчёта объёма позиции. Зафиксировать лимиты капитала, допустимую просадку и поведение при нехватке средств или устаревших данных.</w:t>
      </w:r>
    </w:p>
    <w:p>
      <w:pPr>
        <w:pStyle w:val="ListNumber"/>
        <w:numPr>
          <w:ilvl w:val="0"/>
          <w:numId w:val="15"/>
        </w:numPr>
      </w:pPr>
      <w:r>
        <w:t>Настроить торговые параметры на валидации. Если используются стоп и цель, описать обработку свечи, внутри которой могли сработать оба условия.</w:t>
      </w:r>
    </w:p>
    <w:p>
      <w:pPr>
        <w:pStyle w:val="ListNumber"/>
        <w:numPr>
          <w:ilvl w:val="0"/>
          <w:numId w:val="15"/>
        </w:numPr>
      </w:pPr>
      <w:r>
        <w:t>Проверить чувствительность к расходам, задержкам и параметрам. Сопоставить доходность с риском и временем в позиции, а не выбирать конфигурацию только по максимальной прибыли.</w:t>
      </w:r>
    </w:p>
    <w:p>
      <w:pPr>
        <w:pStyle w:val="ListNumber"/>
        <w:numPr>
          <w:ilvl w:val="0"/>
          <w:numId w:val="15"/>
        </w:numPr>
      </w:pPr>
      <w:r>
        <w:t>Зафиксировать модель, признаки, правила, расходы и график переобучения, если он нужен. После этого выполнить оценку на финальном тесте без дополнительного подбора.</w:t>
      </w:r>
    </w:p>
    <w:p>
      <w:pPr>
        <w:pStyle w:val="ListNumber"/>
        <w:numPr>
          <w:ilvl w:val="0"/>
          <w:numId w:val="15"/>
        </w:numPr>
      </w:pPr>
      <w:r>
        <w:t>Сравнить результат с исходными стратегиями, разобрать удачные и неудачные периоды и указать неопределённость выводов.</w:t>
      </w:r>
    </w:p>
    <w:p>
      <w:r>
        <w:t>Результат — спецификация стратегии, выбранная модель и итоговый отчёт. В отчёте отдельно показано, что дали обучение, дополнительные данные и настройка торговых правил, насколько это можно установить из проведённых сравнений.</w:t>
      </w:r>
    </w:p>
    <w:p>
      <w:r>
        <w:t>На этом этапе исследовательский выбор завершается. Если финальный результат оказался слабее валидационного, это отражается в выводах; подстройка под тот же тест не превращается в новую независимую проверку. В сервис передаётся зафиксированная версия с известными ограничениями.</w:t>
      </w:r>
    </w:p>
    <w:p>
      <w:pPr>
        <w:pStyle w:val="Heading1"/>
        <w:pageBreakBefore w:val="0"/>
      </w:pPr>
      <w:r>
        <w:t>Этап 7 Сервис и бумажная торговля</w:t>
      </w:r>
    </w:p>
    <w:p>
      <w:r>
        <w:t>Исследовательские функции загрузки, признаков и бэктеста уже существуют. Теперь нужно обеспечить регулярную работу, сохранение состояния и наблюдение за системой.</w:t>
      </w:r>
    </w:p>
    <w:p>
      <w:pPr>
        <w:pStyle w:val="ListNumber"/>
        <w:numPr>
          <w:ilvl w:val="0"/>
          <w:numId w:val="16"/>
        </w:numPr>
      </w:pPr>
      <w:r>
        <w:t>Собрать рабочий цикл по расписанию: получить данные, проверить их свежесть, рассчитать признаки, загрузить модель, получить прогноз и выбрать действие.</w:t>
      </w:r>
    </w:p>
    <w:p>
      <w:pPr>
        <w:pStyle w:val="ListNumber"/>
        <w:numPr>
          <w:ilvl w:val="0"/>
          <w:numId w:val="16"/>
        </w:numPr>
      </w:pPr>
      <w:r>
        <w:t>Подключить риск-контроль, симуляцию исполнения и учёт портфеля. Каждая операция должна иметь идентификатор, чтобы повторный запуск не создавал вторую сделку.</w:t>
      </w:r>
    </w:p>
    <w:p>
      <w:pPr>
        <w:pStyle w:val="ListNumber"/>
        <w:numPr>
          <w:ilvl w:val="0"/>
          <w:numId w:val="16"/>
        </w:numPr>
      </w:pPr>
      <w:r>
        <w:t>Сохранять время расчёта, версию модели, прогноз, решение, причину отказа, заявку и результат исполнения. Состояние портфеля восстанавливать после перезапуска.</w:t>
      </w:r>
    </w:p>
    <w:p>
      <w:pPr>
        <w:pStyle w:val="ListNumber"/>
        <w:numPr>
          <w:ilvl w:val="0"/>
          <w:numId w:val="16"/>
        </w:numPr>
      </w:pPr>
      <w:r>
        <w:t>Добавить API и компактный интерфейс с позициями, сделками, кривой капитала и ошибками. Подготовить контейнерный запуск и инструкцию.</w:t>
      </w:r>
    </w:p>
    <w:p>
      <w:pPr>
        <w:pStyle w:val="ListNumber"/>
        <w:numPr>
          <w:ilvl w:val="0"/>
          <w:numId w:val="16"/>
        </w:numPr>
      </w:pPr>
      <w:r>
        <w:t>Проверить сбои API, пропуски, устаревшие данные, повторные интервалы, превышение лимита и восстановление после остановки. Сравнить решения приложения и бэктеста на одинаковых входах.</w:t>
      </w:r>
    </w:p>
    <w:p>
      <w:pPr>
        <w:pStyle w:val="ListNumber"/>
        <w:numPr>
          <w:ilvl w:val="0"/>
          <w:numId w:val="16"/>
        </w:numPr>
      </w:pPr>
      <w:r>
        <w:t>Запустить бумажную торговлю на новых данных на две–три недели. Сохранять результаты и задержки; изменения модели или правил оформлять новой версией.</w:t>
      </w:r>
    </w:p>
    <w:p>
      <w:r>
        <w:t>Технологии подбираются под эти задачи: Python и библиотеки анализа для расчётов, MLflow для экспериментов, DVC или аналогичное хранилище для версий данных, база для состояния, API и простой интерфейс. Конкретные инструменты и требования к оркестрации согласуются с кафедрой. Нагрузочная проверка должна соответствовать реальному числу активов и частоте обновления.</w:t>
      </w:r>
    </w:p>
    <w:p>
      <w:r>
        <w:t>Результат — запускаемый сервис и журнал его работы. Короткое наблюдение проверяет надёжность и выявляет расхождения с исторической симуляцией; для выводов о доходности оно рассматривается вместе с длительностью и числом сделок.</w:t>
      </w:r>
    </w:p>
    <w:p>
      <w:r>
        <w:t>Ассистента можно добавить после готовности этого цикла. Он получает факты из API и журнала, показывает результаты и объясняет решения. Подтверждение пользователем спорного сигнала не должно обходить ограничения риска. Реальное исполнение остаётся отдельным расширением.</w:t>
      </w:r>
    </w:p>
    <w:p>
      <w:pPr>
        <w:pStyle w:val="Heading1"/>
        <w:pageBreakBefore w:val="0"/>
      </w:pPr>
      <w:r>
        <w:t>Этап 8 Текст ВКР и подготовка защиты</w:t>
      </w:r>
    </w:p>
    <w:p>
      <w:r>
        <w:t>Текст ведётся по ходу работы. После постановки появляются введение и обзор, после датасета — описание данных, после базового бэктеста — методика. Затем добавляются эксперименты, стратегия, реализация и проверка сервиса.</w:t>
      </w:r>
    </w:p>
    <w:p>
      <w:r>
        <w:t>Предлагаемая структура работы: введение; обзор подходов и аналогов; постановка задачи и данные; методика экспериментов; модели и торговая стратегия; программная реализация; результаты и ограничения; заключение, источники и приложения. Состав глав приводится к требованиям кафедры.</w:t>
      </w:r>
    </w:p>
    <w:p>
      <w:pPr>
        <w:pStyle w:val="ListNumber"/>
        <w:numPr>
          <w:ilvl w:val="0"/>
          <w:numId w:val="17"/>
        </w:numPr>
      </w:pPr>
      <w:r>
        <w:t>На каждом этапе сохранять итоговые таблицы, рисунки и решения рядом с версией кода и данных. В текст переносить проверенные результаты, а не промежуточные догадки.</w:t>
      </w:r>
    </w:p>
    <w:p>
      <w:pPr>
        <w:pStyle w:val="ListNumber"/>
        <w:numPr>
          <w:ilvl w:val="0"/>
          <w:numId w:val="17"/>
        </w:numPr>
      </w:pPr>
      <w:r>
        <w:t>Разделить в выводах качество прогнозов, торговый результат и техническую работоспособность. Связать каждый вывод с конкретным экспериментом или проверкой.</w:t>
      </w:r>
    </w:p>
    <w:p>
      <w:pPr>
        <w:pStyle w:val="ListNumber"/>
        <w:numPr>
          <w:ilvl w:val="0"/>
          <w:numId w:val="17"/>
        </w:numPr>
      </w:pPr>
      <w:r>
        <w:t>После бумажной торговли завершить главы о реализации и результатах. Проверить ссылки, формулы, подписи, список литературы и приложения.</w:t>
      </w:r>
    </w:p>
    <w:p>
      <w:pPr>
        <w:pStyle w:val="ListNumber"/>
        <w:numPr>
          <w:ilvl w:val="0"/>
          <w:numId w:val="17"/>
        </w:numPr>
      </w:pPr>
      <w:r>
        <w:t>Подготовить демонстрацию полного цикла и резервное воспроизведение на сохранённых данных. Защита не должна зависеть от доступности внешнего API.</w:t>
      </w:r>
    </w:p>
    <w:p>
      <w:pPr>
        <w:pStyle w:val="ListNumber"/>
        <w:numPr>
          <w:ilvl w:val="0"/>
          <w:numId w:val="17"/>
        </w:numPr>
      </w:pPr>
      <w:r>
        <w:t>Собрать презентацию вокруг задачи, выбранного решения, проведённых сравнений и фактического результата. Подготовить ответы на вопросы об утечках, расходах и ограничениях.</w:t>
      </w:r>
    </w:p>
    <w:p>
      <w:pPr>
        <w:pStyle w:val="ListNumber"/>
        <w:numPr>
          <w:ilvl w:val="0"/>
          <w:numId w:val="17"/>
        </w:numPr>
      </w:pPr>
      <w:r>
        <w:t>Пройти предзащиту с руководителем, внести правки и проверить комплект сдачи.</w:t>
      </w:r>
    </w:p>
    <w:p>
      <w:r>
        <w:t>Этап завершён, когда готовы текст, презентация, репозиторий с инструкцией повторения ключевых результатов и проверенное демо. Если какая-то функция осталась за пределами первой версии, это должно быть явно указано и в тексте, и в интерфейсе демонстрации.</w:t>
      </w:r>
    </w:p>
    <w:p>
      <w:pPr>
        <w:pStyle w:val="Heading1"/>
        <w:pageBreakBefore w:val="0"/>
      </w:pPr>
      <w:r>
        <w:t>Календарь и зависимости этапов</w:t>
      </w:r>
    </w:p>
    <w:p>
      <w:r>
        <w:t>Ориентир — 16 рабочих недель. Это плановая оценка; календарные даты появятся после получения сроков кафедры. Строки с пересекающимися неделями обозначают параллельную работу, прежде всего обзор, разработку и текст.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3402"/>
        <w:gridCol w:w="5102"/>
      </w:tblGrid>
      <w:tr>
        <w:trPr>
          <w:cantSplit/>
          <w:tblHeader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Недели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Работа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Результат для перехода дальше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1–2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Постановка, обзор и проверка источников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Зафиксированы задача и доступные данные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2–3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Рыночная история и признаки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Датасет можно пересобрать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Базовый бэктест и методика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Проверены учёт портфеля и правила сравнения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5–6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Модели на базовом наборе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Выбрана исходная модель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7–8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Дополнительные источники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Обоснован состав данных для продукта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9–10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Стратегия и финальный тест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Зафиксирован подход и получен итоговый отчёт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11–12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Сервис и технические проверки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Готов запуск бумажной торговли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13–15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Наблюдение и завершение текста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Есть журнал работы и полная рукопись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15–16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Предзащита, правки и сдача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Подготовлены материалы защиты</w:t>
            </w:r>
          </w:p>
        </w:tc>
      </w:tr>
    </w:tbl>
    <w:p>
      <w:pPr>
        <w:spacing w:after="40"/>
      </w:pPr>
    </w:p>
    <w:p>
      <w:r>
        <w:t>Критическая последовательность — проверенные данные, исправный бэктест, сравнение моделей, выбор стратегии, регулярное исполнение. Дополнительный источник не должен задерживать базовую версию: если его проверка затягивается, работа продолжается на уже доступной информации.</w:t>
      </w:r>
    </w:p>
    <w:p>
      <w:r>
        <w:t>Запас времени распределяется внутри этапов и последней недели. При отставании первыми сокращаются число моделей, дополнительные источники и функции ассистента. Проверка на будущих данных, учёт расходов и подготовка текста сохраняются.</w:t>
      </w:r>
    </w:p>
    <w:p>
      <w:pPr>
        <w:pStyle w:val="Heading1"/>
        <w:pageBreakBefore w:val="0"/>
      </w:pPr>
      <w:r>
        <w:t>Как руководитель будет следить за работой</w:t>
      </w:r>
    </w:p>
    <w:p>
      <w:r>
        <w:t>После каждого этапа показываю конкретный результат: постановку, датасет, базовый отчёт, сравнение моделей, выбранную стратегию, работающий сервис и материалы защиты. Вместе с ним фиксирую вывод, оставшиеся ограничения и то, что нужно решить до следующего этапа.</w:t>
      </w:r>
    </w:p>
    <w:p>
      <w:r>
        <w:t>План в Google Документах описывает общий ход работы. Текст ВКР ведётся отдельно. В репозитории задачи связаны с этапами и результатами, STATUS показывает текущую точку, журнал прогресса — выполненные действия, а записи экспериментов — параметры и выводы отдельных запусков.</w:t>
      </w:r>
    </w:p>
    <w:p>
      <w:r>
        <w:t>Раз в неделю обновляю статус короткой записью: что сделано, что получилось, что мешает и какой результат будет следующим. Сейчас готовы план и структура проекта; данные ещё не собраны, эксперименты и реализация не начаты.</w:t>
      </w:r>
    </w:p>
    <w:p>
      <w:r>
        <w:t>Ближайший результат — согласованная постановка и пробные выгрузки. Для первой встречи подготовлю описание торгового сценария, параметры базовой версии, несколько разобранных работ и сведения о доступной истории. Это даст основание перейти к сбору датасета.</w:t>
      </w:r>
    </w:p>
    <w:p>
      <w:r>
        <w:t xml:space="preserve">Репозиторий: </w:t>
      </w:r>
      <w:hyperlink r:id="rId10">
        <w:r>
          <w:rPr>
            <w:color w:val="245582"/>
          </w:rPr>
          <w:t>https://github.com/maxtimmy/crypto-onchain-trading-vkr</w:t>
        </w:r>
      </w:hyperlink>
      <w:r>
        <w:t xml:space="preserve"> . Отправные точки для проверки источников — архив Binance: </w:t>
      </w:r>
      <w:hyperlink r:id="rId11">
        <w:r>
          <w:rPr>
            <w:color w:val="245582"/>
          </w:rPr>
          <w:t>https://github.com/binance/binance-public-data</w:t>
        </w:r>
      </w:hyperlink>
      <w:r>
        <w:t xml:space="preserve"> и API Coin Metrics: </w:t>
      </w:r>
      <w:hyperlink r:id="rId12">
        <w:r>
          <w:rPr>
            <w:color w:val="245582"/>
          </w:rPr>
          <w:t>https://docs.coinmetrics.io/api/v4/</w:t>
        </w:r>
      </w:hyperlink>
      <w:r>
        <w:t xml:space="preserve"> . Это кандидаты для пробных запросов; условия доступа и пригодность истории ещё предстоит проверить.</w:t>
      </w:r>
    </w:p>
    <w:sectPr w:rsidR="00FC693F" w:rsidRPr="0006063C" w:rsidSect="00034616">
      <w:footerReference w:type="default" r:id="rId9"/>
      <w:pgSz w:w="11906" w:h="16838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0">
    <w:abstractNumId w:val="9"/>
    <w:lvlOverride w:ilvl="0">
      <w:startOverride w:val="1"/>
    </w:lvlOverride>
  </w:num>
  <w:num w:numId="11">
    <w:abstractNumId w:val="9"/>
    <w:lvlOverride w:ilvl="0">
      <w:startOverride w:val="1"/>
    </w:lvlOverride>
  </w:num>
  <w:num w:numId="12">
    <w:abstractNumId w:val="9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9"/>
    <w:lvlOverride w:ilvl="0">
      <w:startOverride w:val="1"/>
    </w:lvlOverride>
  </w:num>
  <w:num w:numId="17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20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2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160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59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59" w:lineRule="auto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maxtimmy/crypto-onchain-trading-vkr" TargetMode="External"/><Relationship Id="rId11" Type="http://schemas.openxmlformats.org/officeDocument/2006/relationships/hyperlink" Target="https://github.com/binance/binance-public-data" TargetMode="External"/><Relationship Id="rId12" Type="http://schemas.openxmlformats.org/officeDocument/2006/relationships/hyperlink" Target="https://docs.coinmetrics.io/api/v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выполнения ВКР по алгоритмической торговле</dc:title>
  <dc:subject/>
  <dc:creator>Ярослав Следевский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