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План выполнения выпускной квалификационной работы</w:t>
      </w:r>
    </w:p>
    <w:p>
      <w:pPr>
        <w:pStyle w:val="Heading1"/>
      </w:pPr>
      <w:r>
        <w:t>1 Паспорт проекта</w:t>
      </w:r>
    </w:p>
    <w:p>
      <w:r>
        <w:t>Рабочая тема — «Разработка системы алгоритмической торговли криптовалютой на основе рыночных и ончейн-данных».</w:t>
      </w:r>
    </w:p>
    <w:p>
      <w:r>
        <w:t>Автор — Ярослав Следевский. Тип работы — программная ВКР с исследовательской частью. Версия плана от 19 октября 2026 года. Формулировка темы и параметры первой версии предлагаются для согласования с научным руководителем.</w:t>
      </w:r>
    </w:p>
    <w:p>
      <w:r>
        <w:t>Цель — разработать воспроизводимую торговую систему, которая собирает данные, рассчитывает признаки, получает прогноз модели, формирует торговое решение и управляет позицией с учётом ограничений риска. Обязательный режим исполнения — бумажная торговля на поступающих данных.</w:t>
      </w:r>
    </w:p>
    <w:p>
      <w:r>
        <w:t>Исследовательский вопрос — улучшают ли ончейн-признаки прогноз и торговые результаты относительно моделей на рыночных данных? Ответ проверяется экспериментами с одинаковыми правилами временного тестирования и сопоставимым бюджетом настройки моделей.</w:t>
      </w:r>
    </w:p>
    <w:p>
      <w:r>
        <w:t>Планируемые результаты работы:</w:t>
      </w:r>
    </w:p>
    <w:p>
      <w:pPr>
        <w:pStyle w:val="ListBullet"/>
      </w:pPr>
      <w:r>
        <w:t>Датасет рыночных и ончейн-показателей с описанием происхождения и времени доступности.</w:t>
      </w:r>
    </w:p>
    <w:p>
      <w:pPr>
        <w:pStyle w:val="ListBullet"/>
      </w:pPr>
      <w:r>
        <w:t>Воспроизводимые эксперименты с базовыми моделями и объединёнными наборами признаков.</w:t>
      </w:r>
    </w:p>
    <w:p>
      <w:pPr>
        <w:pStyle w:val="ListBullet"/>
      </w:pPr>
      <w:r>
        <w:t>Торговая стратегия с правилами входа, выхода, размера позиции и риск-контроля.</w:t>
      </w:r>
    </w:p>
    <w:p>
      <w:pPr>
        <w:pStyle w:val="ListBullet"/>
      </w:pPr>
      <w:r>
        <w:t>Бэктест на отложенной истории с учётом торговых издержек.</w:t>
      </w:r>
    </w:p>
    <w:p>
      <w:pPr>
        <w:pStyle w:val="ListBullet"/>
      </w:pPr>
      <w:r>
        <w:t>Работающий сервис бумажной торговли с журналом решений и интерфейсом наблюдения.</w:t>
      </w:r>
    </w:p>
    <w:p>
      <w:pPr>
        <w:pStyle w:val="ListBullet"/>
      </w:pPr>
      <w:r>
        <w:t>Текст ВКР, презентация и демонстрация продукта.</w:t>
      </w:r>
    </w:p>
    <w:p>
      <w:r>
        <w:t>Улучшение от ончейн-данных и положительная доходность остаются гипотезами. Критерием завершения ВКР служат корректность исследования, полнота продукта и воспроизводимость результатов.</w:t>
      </w:r>
    </w:p>
    <w:p>
      <w:r>
        <w:t xml:space="preserve">Репозиторий проекта: </w:t>
      </w:r>
      <w:hyperlink r:id="rId10">
        <w:r>
          <w:rPr>
            <w:color w:val="245582"/>
          </w:rPr>
          <w:t>https://github.com/maxtimmy/crypto-onchain-trading-vkr</w:t>
        </w:r>
      </w:hyperlink>
      <w:r/>
    </w:p>
    <w:p>
      <w:pPr>
        <w:pStyle w:val="Heading1"/>
        <w:pageBreakBefore/>
      </w:pPr>
      <w:r>
        <w:t>2 Границы продукта и критерии готовности</w:t>
      </w:r>
    </w:p>
    <w:p>
      <w:r>
        <w:t>Для первой версии предлагается одна пара BTC/USDT, спотовый рынок без кредитного плеча и два состояния портфеля: позиция в активе или вне позиции. Начальная цель модели — оценка вероятности положительной доходности на горизонте суток. Решения принимаются по закрытым свечам; частота окончательно фиксируется после аудита ончейн-данных.</w:t>
      </w:r>
    </w:p>
    <w:p>
      <w:r>
        <w:t>Модель формирует прогноз. Торговый модуль преобразует его в целевую позицию по заранее определённым правилам. Модуль риска ограничивает позицию или блокирует сделку, а исполнитель обрабатывает заявку. Возможность не торговать входит в основную логику.</w:t>
      </w:r>
    </w:p>
    <w:p>
      <w:r>
        <w:t>В обязательный объём входят:</w:t>
      </w:r>
    </w:p>
    <w:p>
      <w:pPr>
        <w:pStyle w:val="ListBullet"/>
      </w:pPr>
      <w:r>
        <w:t>Загрузка исторических данных и регулярное обновление доступных признаков.</w:t>
      </w:r>
    </w:p>
    <w:p>
      <w:pPr>
        <w:pStyle w:val="ListBullet"/>
      </w:pPr>
      <w:r>
        <w:t>Обучение, сохранение и загрузка выбранной модели.</w:t>
      </w:r>
    </w:p>
    <w:p>
      <w:pPr>
        <w:pStyle w:val="ListBullet"/>
      </w:pPr>
      <w:r>
        <w:t>Сравнение моделей на рыночных и объединённых данных.</w:t>
      </w:r>
    </w:p>
    <w:p>
      <w:pPr>
        <w:pStyle w:val="ListBullet"/>
      </w:pPr>
      <w:r>
        <w:t>Бэктест, портфельный учёт и бумажное исполнение.</w:t>
      </w:r>
    </w:p>
    <w:p>
      <w:pPr>
        <w:pStyle w:val="ListBullet"/>
      </w:pPr>
      <w:r>
        <w:t>Хранение сигналов, заявок, сделок и версии модели для каждого решения.</w:t>
      </w:r>
    </w:p>
    <w:p>
      <w:pPr>
        <w:pStyle w:val="ListBullet"/>
      </w:pPr>
      <w:r>
        <w:t>API, компактный интерфейс, логи, тесты критичной логики и воспроизводимый запуск.</w:t>
      </w:r>
    </w:p>
    <w:p>
      <w:r>
        <w:t>Готовность продукта проверяется сквозным сценарием: поступили новые данные, рассчитаны фичи, получен сигнал, пройден риск-контроль, создана симулированная заявка, обновлён портфель, результат виден в интерфейсе. После перезапуска система восстанавливает состояние и не дублирует сделку.</w:t>
      </w:r>
    </w:p>
    <w:p>
      <w:r>
        <w:t>Отдельные расширения после готового ядра — второй актив, шорты, новости, соцсети и диалоговый ассистент. Он сможет получать факты из API системы, показывать результаты и передавать пограничные сигналы пользователю на подтверждение. Подтверждение не отменяет риск-контроль. Необходимость РАГа определяется отдельно.</w:t>
      </w:r>
    </w:p>
    <w:p>
      <w:r>
        <w:t>Реальное исполнение через биржевой API — возможное продолжение; оно не является условием завершения основной версии.</w:t>
      </w:r>
    </w:p>
    <w:p>
      <w:pPr>
        <w:pStyle w:val="Heading1"/>
        <w:pageBreakBefore/>
      </w:pPr>
      <w:r>
        <w:t>3 Этап постановки и обзора</w:t>
      </w:r>
    </w:p>
    <w:p>
      <w:r>
        <w:t>Первый этап фиксирует техническую и академическую постановку, чтобы дальнейшие эксперименты отвечали одной задаче.</w:t>
      </w:r>
    </w:p>
    <w:p>
      <w:pPr>
        <w:pStyle w:val="ListNumber"/>
        <w:numPr>
          <w:ilvl w:val="0"/>
          <w:numId w:val="10"/>
        </w:numPr>
      </w:pPr>
      <w:r>
        <w:t>Уточнить тему, цель, исследовательский вопрос, формат сдачи, дедлайны кафедры и ожидаемый состав демонстрации.</w:t>
      </w:r>
    </w:p>
    <w:p>
      <w:pPr>
        <w:pStyle w:val="ListNumber"/>
        <w:numPr>
          <w:ilvl w:val="0"/>
          <w:numId w:val="10"/>
        </w:numPr>
      </w:pPr>
      <w:r>
        <w:t>Зафиксировать рынок, актив, горизонт прогноза, частоту решений и действия системы. Проверить реализуемость параметров на пробной выгрузке.</w:t>
      </w:r>
    </w:p>
    <w:p>
      <w:pPr>
        <w:pStyle w:val="ListNumber"/>
        <w:numPr>
          <w:ilvl w:val="0"/>
          <w:numId w:val="10"/>
        </w:numPr>
      </w:pPr>
      <w:r>
        <w:t>Проверить актуальность выданного списка инструментов, включая версию Python и требования к инфраструктуре. Не вводить одновременно несколько менеджеров окружения без необходимости.</w:t>
      </w:r>
    </w:p>
    <w:p>
      <w:pPr>
        <w:pStyle w:val="ListNumber"/>
        <w:numPr>
          <w:ilvl w:val="0"/>
          <w:numId w:val="10"/>
        </w:numPr>
      </w:pPr>
      <w:r>
        <w:t>Определить условия завершения обязательной версии и порядок добавления расширений.</w:t>
      </w:r>
    </w:p>
    <w:p>
      <w:r>
        <w:t>Обзор охватывает прогнозирование криптовалют, использование ончейн-признаков, торговые стратегии на прогнозах и проверку результатов во времени. Начальный ориентир — 15–20 релевантных публикаций, из которых 5–8 разбираются подробно; итоговый объём зависит от требований кафедры.</w:t>
      </w:r>
    </w:p>
    <w:p>
      <w:r>
        <w:t>Для каждой ключевой работы фиксируются постановка, активы и период, источники данных, признаки, модели, схема временной проверки, издержки, метрики и ограничения. Числа из разных статей не сравниваются напрямую без учёта различий в данных и протоколе.</w:t>
      </w:r>
    </w:p>
    <w:p>
      <w:r>
        <w:t>Отдельно рассматриваются программные аналоги: сбор данных, хранение состояния, бэктест, исполнение и наблюдение за системой. Результат обзора должен объяснять выбор собственного решения и место исследовательской части в продукте.</w:t>
      </w:r>
    </w:p>
    <w:p>
      <w:r>
        <w:t>Результат этапа — паспорт ВКР, таблица литературы и аналогов, список источников, черновик введения и обзорной главы. Контрольная точка с руководителем — подтверждение постановки и границ проекта. Обзор дополняется по мере работы.</w:t>
      </w:r>
    </w:p>
    <w:p>
      <w:pPr>
        <w:pStyle w:val="Heading1"/>
        <w:pageBreakBefore/>
      </w:pPr>
      <w:r>
        <w:t>4 Этап сбора и подготовки данных</w:t>
      </w:r>
    </w:p>
    <w:p>
      <w:r>
        <w:t>Сначала проверяется небольшая выборка из каждого источника. Полный сбор начинается после проверки условий доступа, глубины истории, частоты и возможности регулярного обновления.</w:t>
      </w:r>
    </w:p>
    <w:p>
      <w:r>
        <w:t>Рыночный набор включает время, цены открытия и закрытия, максимум, минимум и объём торгов. Кандидаты в признаки — лаги доходности, скользящие статистики, волатильность, изменения объёма и технические индикаторы.</w:t>
      </w:r>
    </w:p>
    <w:p>
      <w:r>
        <w:t>Ончейн-набор начинается с доступных сетевых агрегатов: количества транзакций, активных адресов, объёмов переводов и комиссий. Конкретные определения зависят от поставщика и фиксируются в словаре. Биржевые притоки и оттоки, а также признаки крупных держателей добавляются после проверки исторического покрытия и качества разметки адресов.</w:t>
      </w:r>
    </w:p>
    <w:p>
      <w:r>
        <w:t>Для каждой метрики составляется паспорт: источник, единицы, смысл, период покрытия, частота, задержка публикации, возможность пересмотра и способ обработки пропусков. Время события, конец агрегируемого периода, время публикации и время получения данных не считаются взаимозаменяемыми.</w:t>
      </w:r>
    </w:p>
    <w:p>
      <w:r>
        <w:t>Порядок обработки:</w:t>
      </w:r>
    </w:p>
    <w:p>
      <w:pPr>
        <w:pStyle w:val="ListNumber"/>
        <w:numPr>
          <w:ilvl w:val="0"/>
          <w:numId w:val="11"/>
        </w:numPr>
      </w:pPr>
      <w:r>
        <w:t>Сохранить исходные выгрузки без перезаписи и зафиксировать параметры получения.</w:t>
      </w:r>
    </w:p>
    <w:p>
      <w:pPr>
        <w:pStyle w:val="ListNumber"/>
        <w:numPr>
          <w:ilvl w:val="0"/>
          <w:numId w:val="11"/>
        </w:numPr>
      </w:pPr>
      <w:r>
        <w:t>Привести время к UTC, проверить сортировку, уникальность и непрерывность интервалов.</w:t>
      </w:r>
    </w:p>
    <w:p>
      <w:pPr>
        <w:pStyle w:val="ListNumber"/>
        <w:numPr>
          <w:ilvl w:val="0"/>
          <w:numId w:val="11"/>
        </w:numPr>
      </w:pPr>
      <w:r>
        <w:t>Найти пропуски, дубликаты и аномальные значения; документировать исправления.</w:t>
      </w:r>
    </w:p>
    <w:p>
      <w:pPr>
        <w:pStyle w:val="ListNumber"/>
        <w:numPr>
          <w:ilvl w:val="0"/>
          <w:numId w:val="11"/>
        </w:numPr>
      </w:pPr>
      <w:r>
        <w:t>Синхронизировать источники по времени фактической доступности. Не заполнять прошлое будущими значениями.</w:t>
      </w:r>
    </w:p>
    <w:p>
      <w:pPr>
        <w:pStyle w:val="ListNumber"/>
        <w:numPr>
          <w:ilvl w:val="0"/>
          <w:numId w:val="11"/>
        </w:numPr>
      </w:pPr>
      <w:r>
        <w:t>Рассчитать фичи, проверить лаги и сформировать версию датасета.</w:t>
      </w:r>
    </w:p>
    <w:p>
      <w:r>
        <w:t>При неизвестной задержке публикации применяется документированное консервативное допущение и проверяется чувствительность результата. Если исторические значения пересматривались и исходные версии недоступны, это ограничение отражается в выводах.</w:t>
      </w:r>
    </w:p>
    <w:p>
      <w:r>
        <w:t>Результат — воспроизводимая выгрузка, датасет, словарь и отчёт о качестве. Большие данные хранятся отдельно от Git, в репозитории — метаданные, конфигурации и инструкции получения.</w:t>
      </w:r>
    </w:p>
    <w:p>
      <w:pPr>
        <w:pStyle w:val="Heading1"/>
        <w:pageBreakBefore/>
      </w:pPr>
      <w:r>
        <w:t>5 Протокол экспериментов</w:t>
      </w:r>
    </w:p>
    <w:p>
      <w:r>
        <w:t>До подбора моделей фиксируются целевая переменная, интервалы данных, базовые решения, метрики, бюджет настройки и правила преобразования прогноза в позицию.</w:t>
      </w:r>
    </w:p>
    <w:p>
      <w:r>
        <w:t>Разбиение выполняется по времени. Несколько последовательных окон обучения и проверки позволяют оценить устойчивость подхода. Финальный период откладывается отдельно и не используется для выбора фичей, модели или торговых порогов. При пересечении будущих интервалов целевой переменной между выборками вводится достаточный временной разрыв.</w:t>
      </w:r>
    </w:p>
    <w:p>
      <w:r>
        <w:t>Все обучаемые преобразования, включая нормализацию, отбор признаков и калибровку вероятностей, настраиваются только на соответствующем обучающем или валидационном участке. Сделка не исполняется по цене закрытия, которую модель могла узнать только после её формирования.</w:t>
      </w:r>
    </w:p>
    <w:p>
      <w:r>
        <w:t>Обязательные ориентиры — отсутствие торговли, удержание актива, простая техническая стратегия и простая прогнозная модель. Модели на разных источниках сравниваются на одинаковых периодах, с одинаковыми ограничениями исполнения и сопоставимым бюджетом подбора.</w:t>
      </w:r>
    </w:p>
    <w:p>
      <w:r>
        <w:t>Для прогнозов оцениваются качество вероятностей и классификации: логарифмическая потеря, Brier score, ROC AUC и дополнительные метрики при необходимости. Для торговли — доходность после издержек, максимальная просадка, Sharpe ratio с указанной частотой расчёта, экспозиция, оборот и количество сделок. Доходность рассматривается вместе с риском и временем нахождения в позиции.</w:t>
      </w:r>
    </w:p>
    <w:p>
      <w:r>
        <w:t>Для выводов о приросте используются результаты по временным окнам и оценка неопределённости, учитывающая временную зависимость, например блочный бутстрэп. Небольшое преимущество на одном участке не считается устойчивым эффектом.</w:t>
      </w:r>
    </w:p>
    <w:p>
      <w:r>
        <w:t>Каждый запуск получает идентификатор, конфигурацию, версию данных и кода, параметры, метрики и артефакты. Результат этапа — сохранённый протокол, базовый бэктест и проверка отсутствия основных утечек. Изменения протокола записываются до повторной итоговой оценки.</w:t>
      </w:r>
    </w:p>
    <w:p>
      <w:pPr>
        <w:pStyle w:val="Heading1"/>
        <w:pageBreakBefore/>
      </w:pPr>
      <w:r>
        <w:t>6 Модели и торговая стратегия</w:t>
      </w:r>
    </w:p>
    <w:p>
      <w:r>
        <w:t>Исследовательская часть начинается с простой модели и градиентного бустинга. Модель последовательностей добавляется после получения работающей базы, если объём данных и время позволяют провести полноценное сравнение.</w:t>
      </w:r>
    </w:p>
    <w:p>
      <w:r>
        <w:t>Матрица экспериментов включает рыночные признаки, ончейн-признаки и их объединение. Внутри объединённой модели проверяется вклад групп признаков. Для каждого сравнения сохраняются одинаковые тестовые интервалы, схема обучения и правила торговли.</w:t>
      </w:r>
    </w:p>
    <w:p>
      <w:r>
        <w:t>Последовательность работы:</w:t>
      </w:r>
    </w:p>
    <w:p>
      <w:pPr>
        <w:pStyle w:val="ListNumber"/>
        <w:numPr>
          <w:ilvl w:val="0"/>
          <w:numId w:val="12"/>
        </w:numPr>
      </w:pPr>
      <w:r>
        <w:t>Получить базовые результаты и проверить корректность данных.</w:t>
      </w:r>
    </w:p>
    <w:p>
      <w:pPr>
        <w:pStyle w:val="ListNumber"/>
        <w:numPr>
          <w:ilvl w:val="0"/>
          <w:numId w:val="12"/>
        </w:numPr>
      </w:pPr>
      <w:r>
        <w:t>Сравнить наборы фичей и ограниченное число семейств моделей.</w:t>
      </w:r>
    </w:p>
    <w:p>
      <w:pPr>
        <w:pStyle w:val="ListNumber"/>
        <w:numPr>
          <w:ilvl w:val="0"/>
          <w:numId w:val="12"/>
        </w:numPr>
      </w:pPr>
      <w:r>
        <w:t>Настроить кандидатов в рамках заранее заданного бюджета.</w:t>
      </w:r>
    </w:p>
    <w:p>
      <w:pPr>
        <w:pStyle w:val="ListNumber"/>
        <w:numPr>
          <w:ilvl w:val="0"/>
          <w:numId w:val="12"/>
        </w:numPr>
      </w:pPr>
      <w:r>
        <w:t>Оценить качество вероятностей и стабильность по временным окнам.</w:t>
      </w:r>
    </w:p>
    <w:p>
      <w:pPr>
        <w:pStyle w:val="ListNumber"/>
        <w:numPr>
          <w:ilvl w:val="0"/>
          <w:numId w:val="12"/>
        </w:numPr>
      </w:pPr>
      <w:r>
        <w:t>Зафиксировать финальную конфигурацию до запуска на отложенном тесте.</w:t>
      </w:r>
    </w:p>
    <w:p>
      <w:r>
        <w:t>Торговая стратегия использует вероятность и, при необходимости, оценку величины движения. Порог входа, условия выхода и размер позиции выбираются на валидации с учётом издержек. Порог нельзя трактовать как достоверную уверенность модели без проверки калибровки.</w:t>
      </w:r>
    </w:p>
    <w:p>
      <w:r>
        <w:t>Риск-контроль включает ограничение доли капитала в позиции, доступного остатка и допустимой просадки, а также блокировку при устаревших данных и ошибках расчёта. Конкретные лимиты фиксируются в конфигурации перед запуском.</w:t>
      </w:r>
    </w:p>
    <w:p>
      <w:r>
        <w:t>Бэктест учитывает комиссии, спред, проскальзывание, задержку и допустимый объём заявки. При свечных данных внутрисвечной порядок достижения стопа и цели неизвестен: применяется явно описанное консервативное правило либо используются более подробные данные.</w:t>
      </w:r>
    </w:p>
    <w:p>
      <w:r>
        <w:t>Проводятся проверки чувствительности к издержкам, порогам и рыночным периодам. Результат этапа — спецификация стратегии, таблица экспериментов и отчёт с ограничениями. Отсутствие преимущества ончейн-признаков также фиксируется как результат исследования.</w:t>
      </w:r>
    </w:p>
    <w:p>
      <w:pPr>
        <w:pStyle w:val="Heading1"/>
        <w:pageBreakBefore/>
      </w:pPr>
      <w:r>
        <w:t>7 Архитектура и инфраструктура продукта</w:t>
      </w:r>
    </w:p>
    <w:p>
      <w:r>
        <w:t>Продукт строится как набор модулей с явными входами и выходами. Сначала достаточно одного приложения и отдельного хранилища; разделение на сервисы выполняется при обоснованной необходимости.</w:t>
      </w:r>
    </w:p>
    <w:p>
      <w:pPr>
        <w:pStyle w:val="ListBullet"/>
      </w:pPr>
      <w:r>
        <w:t>Сбор данных получает историю и новые наблюдения, контролирует полноту и повторные загрузки.</w:t>
      </w:r>
    </w:p>
    <w:p>
      <w:pPr>
        <w:pStyle w:val="ListBullet"/>
      </w:pPr>
      <w:r>
        <w:t>Подготовка фичей использует общую реализацию для экспериментов и рабочего режима.</w:t>
      </w:r>
    </w:p>
    <w:p>
      <w:pPr>
        <w:pStyle w:val="ListBullet"/>
      </w:pPr>
      <w:r>
        <w:t>Модель загружает версионированный артефакт и возвращает прогноз с метаданными.</w:t>
      </w:r>
    </w:p>
    <w:p>
      <w:pPr>
        <w:pStyle w:val="ListBullet"/>
      </w:pPr>
      <w:r>
        <w:t>Стратегия формирует целевую позицию, а риск-контроль проверяет её допустимость.</w:t>
      </w:r>
    </w:p>
    <w:p>
      <w:pPr>
        <w:pStyle w:val="ListBullet"/>
      </w:pPr>
      <w:r>
        <w:t>Исполнитель обрабатывает симулированные заявки и обновляет портфель.</w:t>
      </w:r>
    </w:p>
    <w:p>
      <w:pPr>
        <w:pStyle w:val="ListBullet"/>
      </w:pPr>
      <w:r>
        <w:t>API и интерфейс показывают состояние, сделки, сигналы, результаты и ошибки.</w:t>
      </w:r>
    </w:p>
    <w:p>
      <w:r>
        <w:t>Для решения сохраняются идентификатор временного интервала, время доступности данных, версия модели, набор входов, прогноз, решение стратегии, результат риск-контроля и связанная заявка. Для заявки и сделки хранятся статус, цена, объём, издержки и время исполнения.</w:t>
      </w:r>
    </w:p>
    <w:p>
      <w:r>
        <w:t>Предлагаемый стек — Python, pandas, NumPy, scikit-learn и CatBoost для базы, PyTorch при необходимости, MLflow для экспериментов, PostgreSQL для состояния и Docker Compose для запуска. API может быть реализован на FastAPI, интерфейс — на Streamlit. Конкретные версии и соответствие требованиям кафедры фиксируются на первом этапе.</w:t>
      </w:r>
    </w:p>
    <w:p>
      <w:r>
        <w:t>Репозиторий содержит конфигурации, исходный код, тесты, документацию и шаблоны экспериментов. Данные и артефакты версионируются через согласованное хранилище, например DVC. Секреты передаются через окружение и не коммитятся.</w:t>
      </w:r>
    </w:p>
    <w:p>
      <w:r>
        <w:t>Критичные проверки охватывают временное выравнивание, учёт денег и позиции, комиссии, блокировки риска, повторный запуск и восстановление состояния. Нагрузочный сценарий задаётся через ожидаемое количество активов и частоту обновления. Результат — разворачиваемый сервис и отчёт о проверках.</w:t>
      </w:r>
    </w:p>
    <w:p>
      <w:pPr>
        <w:pStyle w:val="Heading1"/>
        <w:pageBreakBefore/>
      </w:pPr>
      <w:r>
        <w:t>8 Бумажная торговля и техническая приёмка</w:t>
      </w:r>
    </w:p>
    <w:p>
      <w:r>
        <w:t>Бумажная торговля проводится на новых поступающих данных с зафиксированной версией модели, стратегии и конфигурации. Начальный ориентир наблюдения — две–четыре недели; точный срок определяется календарём ВКР и частотой сделок.</w:t>
      </w:r>
    </w:p>
    <w:p>
      <w:r>
        <w:t>Во время запуска собираются доступность источников, задержка расчёта, ошибки, сигналы, отклонённые заявки, сделки, портфель и состояние риска. Принятые изменения конфигурации отмечаются в журнале, чтобы не смешивать результаты разных версий.</w:t>
      </w:r>
    </w:p>
    <w:p>
      <w:r>
        <w:t>Техническая приёмка включает сценарии:</w:t>
      </w:r>
    </w:p>
    <w:p>
      <w:pPr>
        <w:pStyle w:val="ListNumber"/>
        <w:numPr>
          <w:ilvl w:val="0"/>
          <w:numId w:val="13"/>
        </w:numPr>
      </w:pPr>
      <w:r>
        <w:t>Повторное получение одного интервала не создаёт вторую сделку.</w:t>
      </w:r>
    </w:p>
    <w:p>
      <w:pPr>
        <w:pStyle w:val="ListNumber"/>
        <w:numPr>
          <w:ilvl w:val="0"/>
          <w:numId w:val="13"/>
        </w:numPr>
      </w:pPr>
      <w:r>
        <w:t>После перезапуска восстанавливаются портфель и незавершённые операции.</w:t>
      </w:r>
    </w:p>
    <w:p>
      <w:pPr>
        <w:pStyle w:val="ListNumber"/>
        <w:numPr>
          <w:ilvl w:val="0"/>
          <w:numId w:val="13"/>
        </w:numPr>
      </w:pPr>
      <w:r>
        <w:t>При устаревших или неполных данных новые сделки блокируются по заданному правилу.</w:t>
      </w:r>
    </w:p>
    <w:p>
      <w:pPr>
        <w:pStyle w:val="ListNumber"/>
        <w:numPr>
          <w:ilvl w:val="0"/>
          <w:numId w:val="13"/>
        </w:numPr>
      </w:pPr>
      <w:r>
        <w:t>Сбой источника приводит к понятному статусу и контролируемому повтору запроса.</w:t>
      </w:r>
    </w:p>
    <w:p>
      <w:pPr>
        <w:pStyle w:val="ListNumber"/>
        <w:numPr>
          <w:ilvl w:val="0"/>
          <w:numId w:val="13"/>
        </w:numPr>
      </w:pPr>
      <w:r>
        <w:t>Превышение лимита позиции или просадки обрабатывается модулем риска.</w:t>
      </w:r>
    </w:p>
    <w:p>
      <w:pPr>
        <w:pStyle w:val="ListNumber"/>
        <w:numPr>
          <w:ilvl w:val="0"/>
          <w:numId w:val="13"/>
        </w:numPr>
      </w:pPr>
      <w:r>
        <w:t>В интерфейсе можно проследить путь от сигнала до сделки и текущего состояния портфеля.</w:t>
      </w:r>
    </w:p>
    <w:p>
      <w:r>
        <w:t>Для одинаковых входных данных и версии модели решения рабочего режима сопоставляются с воспроизведением бэктеста. Отдельно разбираются расхождения из-за задержек, обновления метрик и модели исполнения.</w:t>
      </w:r>
    </w:p>
    <w:p>
      <w:r>
        <w:t>Короткий запуск подтверждает работу контура и выявляет эксплуатационные проблемы. Его доходность не заменяет историческую проверку и не доказывает устойчивую прибыльность.</w:t>
      </w:r>
    </w:p>
    <w:p>
      <w:r>
        <w:t>Результат — журнал наблюдения, отчёт о технической приёмке и перечень устранённых и оставшихся ограничений. Демонстрация должна работать и без внешних источников через сохранённый сценарий воспроизведения. Подключение реального исполнения рассматривается после завершения обязательного контура и отдельного определения режима доступа к бирже.</w:t>
      </w:r>
    </w:p>
    <w:p>
      <w:pPr>
        <w:pStyle w:val="Heading1"/>
        <w:pageBreakBefore/>
      </w:pPr>
      <w:r>
        <w:t>9 Календарь и контрольные точки</w:t>
      </w:r>
    </w:p>
    <w:p>
      <w:r>
        <w:t>Ниже приведён ориентир на 16 рабочих недель от начала согласованной реализации. Это оценка для планирования, а не официальный срок. После получения дедлайнов этапы привязываются к датам с сохранением времени на наблюдение и исправления.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3402"/>
        <w:gridCol w:w="5102"/>
      </w:tblGrid>
      <w:tr>
        <w:trPr>
          <w:cantSplit/>
          <w:tblHeader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DCE6EF"/>
          </w:tcPr>
          <w:p>
            <w:pPr>
              <w:spacing w:after="40" w:line="240" w:lineRule="auto"/>
            </w:pPr>
            <w:r>
              <w:rPr>
                <w:b/>
                <w:sz w:val="19"/>
              </w:rPr>
              <w:t>Недели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DCE6EF"/>
          </w:tcPr>
          <w:p>
            <w:pPr>
              <w:spacing w:after="40" w:line="240" w:lineRule="auto"/>
            </w:pPr>
            <w:r>
              <w:rPr>
                <w:b/>
                <w:sz w:val="19"/>
              </w:rPr>
              <w:t>Основная работа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DCE6EF"/>
          </w:tcPr>
          <w:p>
            <w:pPr>
              <w:spacing w:after="40" w:line="240" w:lineRule="auto"/>
            </w:pPr>
            <w:r>
              <w:rPr>
                <w:b/>
                <w:sz w:val="19"/>
              </w:rPr>
              <w:t>Проверяемый результат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40" w:lineRule="auto"/>
            </w:pPr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40" w:lineRule="auto"/>
            </w:pPr>
            <w:r>
              <w:rPr>
                <w:b w:val="0"/>
                <w:sz w:val="19"/>
              </w:rPr>
              <w:t>Постановка и пробные выгрузки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40" w:lineRule="auto"/>
            </w:pPr>
            <w:r>
              <w:rPr>
                <w:b w:val="0"/>
                <w:sz w:val="19"/>
              </w:rPr>
              <w:t>Паспорт проекта и проверка доступности данных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40" w:lineRule="auto"/>
            </w:pPr>
            <w:r>
              <w:rPr>
                <w:b w:val="0"/>
                <w:sz w:val="19"/>
              </w:rPr>
              <w:t>2–3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40" w:lineRule="auto"/>
            </w:pPr>
            <w:r>
              <w:rPr>
                <w:b w:val="0"/>
                <w:sz w:val="19"/>
              </w:rPr>
              <w:t>Обзор и подготовка датасета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40" w:lineRule="auto"/>
            </w:pPr>
            <w:r>
              <w:rPr>
                <w:b w:val="0"/>
                <w:sz w:val="19"/>
              </w:rPr>
              <w:t>Обзорная таблица, словарь и версия данных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40" w:lineRule="auto"/>
            </w:pPr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40" w:lineRule="auto"/>
            </w:pPr>
            <w:r>
              <w:rPr>
                <w:b w:val="0"/>
                <w:sz w:val="19"/>
              </w:rPr>
              <w:t>Протокол и базовые решения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40" w:lineRule="auto"/>
            </w:pPr>
            <w:r>
              <w:rPr>
                <w:b w:val="0"/>
                <w:sz w:val="19"/>
              </w:rPr>
              <w:t>Первый сквозной бэктест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40" w:lineRule="auto"/>
            </w:pPr>
            <w:r>
              <w:rPr>
                <w:b w:val="0"/>
                <w:sz w:val="19"/>
              </w:rPr>
              <w:t>5–7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40" w:lineRule="auto"/>
            </w:pPr>
            <w:r>
              <w:rPr>
                <w:b w:val="0"/>
                <w:sz w:val="19"/>
              </w:rPr>
              <w:t>Модели и сравнение источников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40" w:lineRule="auto"/>
            </w:pPr>
            <w:r>
              <w:rPr>
                <w:b w:val="0"/>
                <w:sz w:val="19"/>
              </w:rPr>
              <w:t>Матрица экспериментов и выбор кандидата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40" w:lineRule="auto"/>
            </w:pPr>
            <w:r>
              <w:rPr>
                <w:b w:val="0"/>
                <w:sz w:val="19"/>
              </w:rPr>
              <w:t>8–9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40" w:lineRule="auto"/>
            </w:pPr>
            <w:r>
              <w:rPr>
                <w:b w:val="0"/>
                <w:sz w:val="19"/>
              </w:rPr>
              <w:t>Стратегия и итоговый тест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40" w:lineRule="auto"/>
            </w:pPr>
            <w:r>
              <w:rPr>
                <w:b w:val="0"/>
                <w:sz w:val="19"/>
              </w:rPr>
              <w:t>Зафиксированная стратегия и отчёт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40" w:lineRule="auto"/>
            </w:pPr>
            <w:r>
              <w:rPr>
                <w:b w:val="0"/>
                <w:sz w:val="19"/>
              </w:rPr>
              <w:t>10–11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40" w:lineRule="auto"/>
            </w:pPr>
            <w:r>
              <w:rPr>
                <w:b w:val="0"/>
                <w:sz w:val="19"/>
              </w:rPr>
              <w:t>Сервис и технические проверки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40" w:lineRule="auto"/>
            </w:pPr>
            <w:r>
              <w:rPr>
                <w:b w:val="0"/>
                <w:sz w:val="19"/>
              </w:rPr>
              <w:t>Развёртываемая версия бумажной торговли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40" w:lineRule="auto"/>
            </w:pPr>
            <w:r>
              <w:rPr>
                <w:b w:val="0"/>
                <w:sz w:val="19"/>
              </w:rPr>
              <w:t>12–14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40" w:lineRule="auto"/>
            </w:pPr>
            <w:r>
              <w:rPr>
                <w:b w:val="0"/>
                <w:sz w:val="19"/>
              </w:rPr>
              <w:t>Наблюдение и исправления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40" w:lineRule="auto"/>
            </w:pPr>
            <w:r>
              <w:rPr>
                <w:b w:val="0"/>
                <w:sz w:val="19"/>
              </w:rPr>
              <w:t>Журнал работы и техническая приёмка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40" w:lineRule="auto"/>
            </w:pPr>
            <w:r>
              <w:rPr>
                <w:b w:val="0"/>
                <w:sz w:val="19"/>
              </w:rPr>
              <w:t>15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40" w:lineRule="auto"/>
            </w:pPr>
            <w:r>
              <w:rPr>
                <w:b w:val="0"/>
                <w:sz w:val="19"/>
              </w:rPr>
              <w:t>Предзащита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40" w:lineRule="auto"/>
            </w:pPr>
            <w:r>
              <w:rPr>
                <w:b w:val="0"/>
                <w:sz w:val="19"/>
              </w:rPr>
              <w:t>Полный текст, слайды и демонстрация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40" w:lineRule="auto"/>
            </w:pPr>
            <w:r>
              <w:rPr>
                <w:b w:val="0"/>
                <w:sz w:val="19"/>
              </w:rPr>
              <w:t>16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40" w:lineRule="auto"/>
            </w:pPr>
            <w:r>
              <w:rPr>
                <w:b w:val="0"/>
                <w:sz w:val="19"/>
              </w:rPr>
              <w:t>Правки и сдача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40" w:lineRule="auto"/>
            </w:pPr>
            <w:r>
              <w:rPr>
                <w:b w:val="0"/>
                <w:sz w:val="19"/>
              </w:rPr>
              <w:t>Итоговый комплект материалов</w:t>
            </w:r>
          </w:p>
        </w:tc>
      </w:tr>
    </w:tbl>
    <w:p>
      <w:pPr>
        <w:spacing w:after="40"/>
      </w:pPr>
    </w:p>
    <w:p>
      <w:r>
        <w:t>Прототип сбора, фичей и исполнения развивается с этапа данных. Текст пишется каждую неделю по готовым результатам: введение и обзор, описание данных, методика, эксперименты, архитектура, выводы.</w:t>
      </w:r>
    </w:p>
    <w:p>
      <w:r>
        <w:t>Контрольные точки с руководителем: после постановки; после аудита данных и обзора; после базового бэктеста; после модельных экспериментов; после готового сервиса; на предзащите. На каждой точке показываются конкретный артефакт, выводы и ближайшие задачи.</w:t>
      </w:r>
    </w:p>
    <w:p>
      <w:r>
        <w:t>При отставании сначала сокращаются дополнительные источники, число моделей и расширения. Протокол временной проверки, учёт издержек и резерв на оформление сохраняются.</w:t>
      </w:r>
    </w:p>
    <w:p>
      <w:pPr>
        <w:pStyle w:val="Heading1"/>
        <w:pageBreakBefore/>
      </w:pPr>
      <w:r>
        <w:t>10 Текст ВКР и ведение прогресса</w:t>
      </w:r>
    </w:p>
    <w:p>
      <w:r>
        <w:t>Предлагаемая структура текста: введение; обзор предметной области и аналогов; данные и постановка экспериментов; модели и торговая стратегия; архитектура и реализация; результаты исторической и эксплуатационной проверки; заключение; источники и приложения. Итоговая структура приводится к требованиям кафедры.</w:t>
      </w:r>
    </w:p>
    <w:p>
      <w:r>
        <w:t>Во введении фиксируются цель, задачи, объект, предмет и практический результат. В методике описываются все решения, влияющие на воспроизводимость. В результатах разделяются прогнозные метрики, торговые показатели и техническая работоспособность. В заключении даётся ответ на исследовательский вопрос без обещаний за пределами проведённой проверки.</w:t>
      </w:r>
    </w:p>
    <w:p>
      <w:r>
        <w:t>Рабочие материалы распределяются так:</w:t>
      </w:r>
    </w:p>
    <w:p>
      <w:pPr>
        <w:pStyle w:val="ListBullet"/>
      </w:pPr>
      <w:r>
        <w:t>Google Документ с планом хранит общую постановку, этапы и согласованные изменения объёма.</w:t>
      </w:r>
    </w:p>
    <w:p>
      <w:pPr>
        <w:pStyle w:val="ListBullet"/>
      </w:pPr>
      <w:r>
        <w:t>Отдельный Google Документ предназначен для текста ВКР и замечаний руководителя.</w:t>
      </w:r>
    </w:p>
    <w:p>
      <w:pPr>
        <w:pStyle w:val="ListBullet"/>
      </w:pPr>
      <w:r>
        <w:t>README репозитория содержит ссылки и навигацию, STATUS — фактическое состояние.</w:t>
      </w:r>
    </w:p>
    <w:p>
      <w:pPr>
        <w:pStyle w:val="ListBullet"/>
      </w:pPr>
      <w:r>
        <w:t>Задачи GitHub отражают ближайшую работу, критерии готовности и связанные результаты.</w:t>
      </w:r>
    </w:p>
    <w:p>
      <w:pPr>
        <w:pStyle w:val="ListBullet"/>
      </w:pPr>
      <w:r>
        <w:t>Журнал прогресса обновляется по выполненным действиям, а журнал экспериментов — по фактическим запускам.</w:t>
      </w:r>
    </w:p>
    <w:p>
      <w:r>
        <w:t>Короткое обновление руководителю готовится раз в неделю или к согласованной контрольной точке: что готово, какой результат получен, что мешает и что делается дальше. Подготовленный план не отмечается как завершённое исследование, а созданный каркас репозитория — как работающая торговая система.</w:t>
      </w:r>
    </w:p>
    <w:p>
      <w:r>
        <w:t>Перед защитой проверяются ссылки, инструкции воспроизведения, итоговые таблицы и соответствие выводов данным. Готовятся слайды, сквозное демо, резервная запись и ответы на вопросы об утечках, издержках, переобучении и пользе ончейн-признаков.</w:t>
      </w:r>
    </w:p>
    <w:p>
      <w:pPr>
        <w:pStyle w:val="Heading1"/>
        <w:pageBreakBefore/>
      </w:pPr>
      <w:r>
        <w:t>11 Риски и ближайшие действия</w:t>
      </w:r>
    </w:p>
    <w:p>
      <w:r>
        <w:t>Основной риск данных — отсутствие доступной исторической ончейн-метрики или неизвестное время её публикации. Действие: ранняя пробная выгрузка, паспорт доступности и переход к воспроизводимым агрегатам при недостатке разметки адресов.</w:t>
      </w:r>
    </w:p>
    <w:p>
      <w:r>
        <w:t>Риск методики — завышенный результат из-за утечки, перебора конфигураций или оптимистичного исполнения. Действие: временные разрывы, отдельный финальный тест, журнал подборов и проверка чувствительности к издержкам.</w:t>
      </w:r>
    </w:p>
    <w:p>
      <w:r>
        <w:t>Риск продукта — ошибки состояния, повторные заявки или расхождение расчёта фичей между исследованием и сервисом. Действие: общие функции, идентификаторы операций, сохранение состояния и интеграционные сценарии.</w:t>
      </w:r>
    </w:p>
    <w:p>
      <w:r>
        <w:t>Риск объёма — попытка одновременно реализовать много источников, рынков и ассистента. Действие: обязательная первая версия и расширения только после её приёмки. Риск сроков контролируется ранним написанием текста и резервом на исправления.</w:t>
      </w:r>
    </w:p>
    <w:p>
      <w:r>
        <w:t>Ближайший рабочий цикл:</w:t>
      </w:r>
    </w:p>
    <w:p>
      <w:pPr>
        <w:pStyle w:val="ListNumber"/>
        <w:numPr>
          <w:ilvl w:val="0"/>
          <w:numId w:val="14"/>
        </w:numPr>
      </w:pPr>
      <w:r>
        <w:t>Зафиксировать с руководителем тему, обязательный продукт и параметры первой версии.</w:t>
      </w:r>
    </w:p>
    <w:p>
      <w:pPr>
        <w:pStyle w:val="ListNumber"/>
        <w:numPr>
          <w:ilvl w:val="0"/>
          <w:numId w:val="14"/>
        </w:numPr>
      </w:pPr>
      <w:r>
        <w:t>Получить официальные сроки и актуальные требования к оформлению и инструментам.</w:t>
      </w:r>
    </w:p>
    <w:p>
      <w:pPr>
        <w:pStyle w:val="ListNumber"/>
        <w:numPr>
          <w:ilvl w:val="0"/>
          <w:numId w:val="14"/>
        </w:numPr>
      </w:pPr>
      <w:r>
        <w:t>Проверить пробные рыночные и ончейн-выгрузки и заполнить паспорт данных.</w:t>
      </w:r>
    </w:p>
    <w:p>
      <w:pPr>
        <w:pStyle w:val="ListNumber"/>
        <w:numPr>
          <w:ilvl w:val="0"/>
          <w:numId w:val="14"/>
        </w:numPr>
      </w:pPr>
      <w:r>
        <w:t>Подготовить первоначальную таблицу литературы и протокол экспериментов.</w:t>
      </w:r>
    </w:p>
    <w:p>
      <w:pPr>
        <w:pStyle w:val="ListNumber"/>
        <w:numPr>
          <w:ilvl w:val="0"/>
          <w:numId w:val="14"/>
        </w:numPr>
      </w:pPr>
      <w:r>
        <w:t>Получить первый воспроизводимый результат от данных до бэктеста.</w:t>
      </w:r>
    </w:p>
    <w:p>
      <w:r>
        <w:t xml:space="preserve">Отправные источники: официальный архив рыночных данных Binance — </w:t>
      </w:r>
      <w:hyperlink r:id="rId11">
        <w:r>
          <w:rPr>
            <w:color w:val="245582"/>
          </w:rPr>
          <w:t>https://github.com/binance/binance-public-data</w:t>
        </w:r>
      </w:hyperlink>
      <w:r>
        <w:t xml:space="preserve"> ; документация API Coin Metrics — </w:t>
      </w:r>
      <w:hyperlink r:id="rId12">
        <w:r>
          <w:rPr>
            <w:color w:val="245582"/>
          </w:rPr>
          <w:t>https://docs.coinmetrics.io/api/v4/</w:t>
        </w:r>
      </w:hyperlink>
      <w:r>
        <w:t xml:space="preserve"> . Состав доступных метрик, частоты, покрытие и условия использования проверяются на этапе аудита. Выбор архива не фиксирует площадку для будущего исполнения.</w:t>
      </w:r>
    </w:p>
    <w:p>
      <w:r>
        <w:t>Вопросы первой контрольной точки — формулировка темы, параметры рынка и горизонта, критерии приёмки и календарные даты. Изменения после обсуждения фиксируются в плане и журнале решений.</w:t>
      </w:r>
    </w:p>
    <w:sectPr w:rsidR="00FC693F" w:rsidRPr="0006063C" w:rsidSect="00034616">
      <w:footerReference w:type="default" r:id="rId9"/>
      <w:pgSz w:w="11906" w:h="16838"/>
      <w:pgMar w:top="1020" w:right="1191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sz w:val="18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0">
    <w:abstractNumId w:val="9"/>
    <w:lvlOverride w:ilvl="0">
      <w:startOverride w:val="1"/>
    </w:lvlOverride>
  </w:num>
  <w:num w:numId="11">
    <w:abstractNumId w:val="9"/>
    <w:lvlOverride w:ilvl="0">
      <w:startOverride w:val="1"/>
    </w:lvlOverride>
  </w:num>
  <w:num w:numId="12">
    <w:abstractNumId w:val="9"/>
    <w:lvlOverride w:ilvl="0">
      <w:startOverride w:val="1"/>
    </w:lvlOverride>
  </w:num>
  <w:num w:numId="13">
    <w:abstractNumId w:val="9"/>
    <w:lvlOverride w:ilvl="0">
      <w:startOverride w:val="1"/>
    </w:lvlOverride>
  </w:num>
  <w:num w:numId="14">
    <w:abstractNumId w:val="9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 w:after="120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20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20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00" w:line="240" w:lineRule="auto" w:before="160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00" w:line="259" w:lineRule="auto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00" w:line="259" w:lineRule="auto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github.com/maxtimmy/crypto-onchain-trading-vkr" TargetMode="External"/><Relationship Id="rId11" Type="http://schemas.openxmlformats.org/officeDocument/2006/relationships/hyperlink" Target="https://github.com/binance/binance-public-data" TargetMode="External"/><Relationship Id="rId12" Type="http://schemas.openxmlformats.org/officeDocument/2006/relationships/hyperlink" Target="https://docs.coinmetrics.io/api/v4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План выполнения ВКР по алгоритмической торговле</dc:title>
  <dc:subject/>
  <dc:creator>Ярослав Следевский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