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Garamond" w:hAnsi="Garamond"/>
          <w:b/>
          <w:color w:val="0A0A0A"/>
          <w:sz w:val="44"/>
        </w:rPr>
        <w:t>WATSONS &amp; CO</w:t>
      </w:r>
    </w:p>
    <w:p>
      <w:pPr>
        <w:jc w:val="center"/>
      </w:pPr>
      <w:r>
        <w:rPr>
          <w:color w:val="888480"/>
          <w:sz w:val="20"/>
        </w:rPr>
        <w:t>Estate Agents  ·  Newcastle upon Tyne</w:t>
      </w:r>
    </w:p>
    <w:p/>
    <w:p>
      <w:pPr>
        <w:pBdr>
          <w:bottom w:val="single" w:sz="4" w:space="1" w:color="C4C0B8"/>
        </w:pBdr>
      </w:pPr>
    </w:p>
    <w:p/>
    <w:p>
      <w:pPr>
        <w:jc w:val="center"/>
      </w:pPr>
      <w:r>
        <w:rPr>
          <w:rFonts w:ascii="Garamond" w:hAnsi="Garamond"/>
          <w:color w:val="0A0A0A"/>
          <w:sz w:val="36"/>
        </w:rPr>
        <w:t>Anti-Money Laundering Policy</w:t>
      </w:r>
    </w:p>
    <w:p/>
    <w:p>
      <w:pPr>
        <w:jc w:val="center"/>
      </w:pPr>
      <w:r>
        <w:rPr>
          <w:color w:val="888480"/>
          <w:sz w:val="18"/>
        </w:rPr>
        <w:t>Last updated: 15 May 2026</w:t>
      </w:r>
    </w:p>
    <w:p>
      <w:r>
        <w:br w:type="page"/>
      </w:r>
    </w:p>
    <w:p>
      <w:pPr>
        <w:spacing w:before="360" w:after="80"/>
      </w:pPr>
      <w:r>
        <w:rPr>
          <w:rFonts w:ascii="Garamond" w:hAnsi="Garamond"/>
          <w:b/>
          <w:color w:val="0A0A0A"/>
          <w:sz w:val="30"/>
        </w:rPr>
        <w:t>1.  Introduction and Legal Framework</w:t>
      </w:r>
    </w:p>
    <w:p>
      <w:pPr>
        <w:spacing w:after="120" w:before="0"/>
      </w:pPr>
      <w:r>
        <w:rPr>
          <w:color w:val="0A0A0A"/>
          <w:sz w:val="22"/>
        </w:rPr>
        <w:t>Watsons &amp; Co is registered with HMRC for Anti-Money Laundering supervision under the Money Laundering, Terrorist Financing and Transfer of Funds (Information on the Payer) Regulations 2017 (the 'MLRs 2017') (HMRC Registration: XMWAT00000123456). We are also subject to the Proceeds of Crime Act 2002 and the Terrorism Act 2000.</w:t>
      </w:r>
    </w:p>
    <w:p>
      <w:pPr>
        <w:spacing w:after="120" w:before="0"/>
      </w:pPr>
      <w:r>
        <w:rPr>
          <w:color w:val="0A0A0A"/>
          <w:sz w:val="22"/>
        </w:rPr>
        <w:t>All partners and staff involved in estate agency work are aware of their obligations under the MLRs 2017 and have received appropriate training.</w:t>
      </w:r>
    </w:p>
    <w:p>
      <w:pPr>
        <w:spacing w:before="360" w:after="80"/>
      </w:pPr>
      <w:r>
        <w:rPr>
          <w:rFonts w:ascii="Garamond" w:hAnsi="Garamond"/>
          <w:b/>
          <w:color w:val="0A0A0A"/>
          <w:sz w:val="30"/>
        </w:rPr>
        <w:t>2.  Nominated Officer</w:t>
      </w:r>
    </w:p>
    <w:p>
      <w:pPr>
        <w:spacing w:after="120" w:before="0"/>
      </w:pPr>
      <w:r>
        <w:rPr>
          <w:color w:val="0A0A0A"/>
          <w:sz w:val="22"/>
        </w:rPr>
        <w:t>Our Money Laundering Reporting Officer (MLRO) is Max Watson, Director. All internal suspicious activity reports should be submitted to the MLRO in writing. Contact: hello@watsonsandco.com</w:t>
      </w:r>
    </w:p>
    <w:p>
      <w:pPr>
        <w:spacing w:before="360" w:after="80"/>
      </w:pPr>
      <w:r>
        <w:rPr>
          <w:rFonts w:ascii="Garamond" w:hAnsi="Garamond"/>
          <w:b/>
          <w:color w:val="0A0A0A"/>
          <w:sz w:val="30"/>
        </w:rPr>
        <w:t>3.  Customer Due Diligence (CDD)</w:t>
      </w:r>
    </w:p>
    <w:p>
      <w:pPr>
        <w:spacing w:before="240" w:after="40"/>
      </w:pPr>
      <w:r>
        <w:rPr>
          <w:rFonts w:ascii="Calibri" w:hAnsi="Calibri"/>
          <w:b/>
          <w:color w:val="0A0A0A"/>
          <w:sz w:val="23"/>
        </w:rPr>
        <w:t>3.1  When CDD is required</w:t>
      </w:r>
    </w:p>
    <w:p>
      <w:pPr>
        <w:spacing w:after="120" w:before="0"/>
      </w:pPr>
      <w:r>
        <w:rPr>
          <w:color w:val="0A0A0A"/>
          <w:sz w:val="22"/>
        </w:rPr>
        <w:t>We carry out Customer Due Diligence checks before establishing a business relationship with:</w:t>
      </w:r>
    </w:p>
    <w:p>
      <w:pPr>
        <w:pStyle w:val="ListBullet"/>
        <w:spacing w:after="60"/>
      </w:pPr>
      <w:r>
        <w:rPr>
          <w:color w:val="0A0A0A"/>
          <w:sz w:val="22"/>
        </w:rPr>
        <w:t>Vendors (sellers) instructing us to market their property</w:t>
      </w:r>
    </w:p>
    <w:p>
      <w:pPr>
        <w:pStyle w:val="ListBullet"/>
        <w:spacing w:after="60"/>
      </w:pPr>
      <w:r>
        <w:rPr>
          <w:color w:val="0A0A0A"/>
          <w:sz w:val="22"/>
        </w:rPr>
        <w:t>Purchasers making an offer on a property</w:t>
      </w:r>
    </w:p>
    <w:p>
      <w:pPr>
        <w:pStyle w:val="ListBullet"/>
        <w:spacing w:after="60"/>
      </w:pPr>
      <w:r>
        <w:rPr>
          <w:color w:val="0A0A0A"/>
          <w:sz w:val="22"/>
        </w:rPr>
        <w:t>Landlords instructing us to let their property</w:t>
      </w:r>
    </w:p>
    <w:p>
      <w:pPr>
        <w:pStyle w:val="ListBullet"/>
        <w:spacing w:after="60"/>
      </w:pPr>
      <w:r>
        <w:rPr>
          <w:color w:val="0A0A0A"/>
          <w:sz w:val="22"/>
        </w:rPr>
        <w:t>Tenants entering a tenancy agreement</w:t>
      </w:r>
    </w:p>
    <w:p>
      <w:pPr>
        <w:spacing w:before="240" w:after="40"/>
      </w:pPr>
      <w:r>
        <w:rPr>
          <w:rFonts w:ascii="Calibri" w:hAnsi="Calibri"/>
          <w:b/>
          <w:color w:val="0A0A0A"/>
          <w:sz w:val="23"/>
        </w:rPr>
        <w:t>3.2  Standard CDD measures</w:t>
      </w:r>
    </w:p>
    <w:p>
      <w:pPr>
        <w:spacing w:after="120" w:before="0"/>
      </w:pPr>
      <w:r>
        <w:rPr>
          <w:color w:val="0A0A0A"/>
          <w:sz w:val="22"/>
        </w:rPr>
        <w:t>For individuals, we will request:</w:t>
      </w:r>
    </w:p>
    <w:p>
      <w:pPr>
        <w:pStyle w:val="ListBullet"/>
        <w:spacing w:after="60"/>
      </w:pPr>
      <w:r>
        <w:rPr>
          <w:color w:val="0A0A0A"/>
          <w:sz w:val="22"/>
        </w:rPr>
        <w:t>One document confirming identity: valid passport, UK driving licence, or national identity card</w:t>
      </w:r>
    </w:p>
    <w:p>
      <w:pPr>
        <w:pStyle w:val="ListBullet"/>
        <w:spacing w:after="60"/>
      </w:pPr>
      <w:r>
        <w:rPr>
          <w:color w:val="0A0A0A"/>
          <w:sz w:val="22"/>
        </w:rPr>
        <w:t>One document confirming address (dated within 3 months): utility bill, bank statement, or official government letter</w:t>
      </w:r>
    </w:p>
    <w:p>
      <w:pPr>
        <w:pStyle w:val="ListBullet"/>
        <w:spacing w:after="60"/>
      </w:pPr>
      <w:r>
        <w:rPr>
          <w:color w:val="0A0A0A"/>
          <w:sz w:val="22"/>
        </w:rPr>
        <w:t>Source of funds / source of wealth documentation for cash buyers or where transaction value is £10,000 or more</w:t>
      </w:r>
    </w:p>
    <w:p>
      <w:pPr>
        <w:spacing w:after="120" w:before="0"/>
      </w:pPr>
      <w:r>
        <w:rPr>
          <w:color w:val="0A0A0A"/>
          <w:sz w:val="22"/>
        </w:rPr>
        <w:t>For corporate clients (companies, LLPs, trusts), we will request:</w:t>
      </w:r>
    </w:p>
    <w:p>
      <w:pPr>
        <w:pStyle w:val="ListBullet"/>
        <w:spacing w:after="60"/>
      </w:pPr>
      <w:r>
        <w:rPr>
          <w:color w:val="0A0A0A"/>
          <w:sz w:val="22"/>
        </w:rPr>
        <w:t>Certificate of incorporation and articles of association</w:t>
      </w:r>
    </w:p>
    <w:p>
      <w:pPr>
        <w:pStyle w:val="ListBullet"/>
        <w:spacing w:after="60"/>
      </w:pPr>
      <w:r>
        <w:rPr>
          <w:color w:val="0A0A0A"/>
          <w:sz w:val="22"/>
        </w:rPr>
        <w:t>Confirmation of beneficial owners (persons with 25% or more ownership)</w:t>
      </w:r>
    </w:p>
    <w:p>
      <w:pPr>
        <w:pStyle w:val="ListBullet"/>
        <w:spacing w:after="60"/>
      </w:pPr>
      <w:r>
        <w:rPr>
          <w:color w:val="0A0A0A"/>
          <w:sz w:val="22"/>
        </w:rPr>
        <w:t>Identity verification for each beneficial owner</w:t>
      </w:r>
    </w:p>
    <w:p>
      <w:pPr>
        <w:pStyle w:val="ListBullet"/>
        <w:spacing w:after="60"/>
      </w:pPr>
      <w:r>
        <w:rPr>
          <w:color w:val="0A0A0A"/>
          <w:sz w:val="22"/>
        </w:rPr>
        <w:t>Evidence of the authority of the individual instructing us</w:t>
      </w:r>
    </w:p>
    <w:p>
      <w:pPr>
        <w:spacing w:before="240" w:after="40"/>
      </w:pPr>
      <w:r>
        <w:rPr>
          <w:rFonts w:ascii="Calibri" w:hAnsi="Calibri"/>
          <w:b/>
          <w:color w:val="0A0A0A"/>
          <w:sz w:val="23"/>
        </w:rPr>
        <w:t>3.3  Enhanced Due Diligence</w:t>
      </w:r>
    </w:p>
    <w:p>
      <w:pPr>
        <w:spacing w:after="120" w:before="0"/>
      </w:pPr>
      <w:r>
        <w:rPr>
          <w:color w:val="0A0A0A"/>
          <w:sz w:val="22"/>
        </w:rPr>
        <w:t>Enhanced Due Diligence (EDD) is applied in the following higher-risk situations:</w:t>
      </w:r>
    </w:p>
    <w:p>
      <w:pPr>
        <w:pStyle w:val="ListBullet"/>
        <w:spacing w:after="60"/>
      </w:pPr>
      <w:r>
        <w:rPr>
          <w:color w:val="0A0A0A"/>
          <w:sz w:val="22"/>
        </w:rPr>
        <w:t>Transactions involving Politically Exposed Persons (PEPs) or their associates</w:t>
      </w:r>
    </w:p>
    <w:p>
      <w:pPr>
        <w:pStyle w:val="ListBullet"/>
        <w:spacing w:after="60"/>
      </w:pPr>
      <w:r>
        <w:rPr>
          <w:color w:val="0A0A0A"/>
          <w:sz w:val="22"/>
        </w:rPr>
        <w:t>Transactions involving high-risk third countries designated by the FATF</w:t>
      </w:r>
    </w:p>
    <w:p>
      <w:pPr>
        <w:pStyle w:val="ListBullet"/>
        <w:spacing w:after="60"/>
      </w:pPr>
      <w:r>
        <w:rPr>
          <w:color w:val="0A0A0A"/>
          <w:sz w:val="22"/>
        </w:rPr>
        <w:t>Complex or unusually large transactions with no apparent economic purpose</w:t>
      </w:r>
    </w:p>
    <w:p>
      <w:pPr>
        <w:pStyle w:val="ListBullet"/>
        <w:spacing w:after="60"/>
      </w:pPr>
      <w:r>
        <w:rPr>
          <w:color w:val="0A0A0A"/>
          <w:sz w:val="22"/>
        </w:rPr>
        <w:t>Cash-heavy transactions or unusual payment structures</w:t>
      </w:r>
    </w:p>
    <w:p>
      <w:pPr>
        <w:spacing w:before="240" w:after="40"/>
      </w:pPr>
      <w:r>
        <w:rPr>
          <w:rFonts w:ascii="Calibri" w:hAnsi="Calibri"/>
          <w:b/>
          <w:color w:val="0A0A0A"/>
          <w:sz w:val="23"/>
        </w:rPr>
        <w:t>3.4  Ongoing monitoring</w:t>
      </w:r>
    </w:p>
    <w:p>
      <w:pPr>
        <w:spacing w:after="120" w:before="0"/>
      </w:pPr>
      <w:r>
        <w:rPr>
          <w:color w:val="0A0A0A"/>
          <w:sz w:val="22"/>
        </w:rPr>
        <w:t>We monitor all transactions and business relationships on an ongoing basis. We will request updated verification documents if there are changes in circumstances or if our records are out of date.</w:t>
      </w:r>
    </w:p>
    <w:p>
      <w:pPr>
        <w:spacing w:before="360" w:after="80"/>
      </w:pPr>
      <w:r>
        <w:rPr>
          <w:rFonts w:ascii="Garamond" w:hAnsi="Garamond"/>
          <w:b/>
          <w:color w:val="0A0A0A"/>
          <w:sz w:val="30"/>
        </w:rPr>
        <w:t>4.  Record Keeping</w:t>
      </w:r>
    </w:p>
    <w:p>
      <w:pPr>
        <w:spacing w:after="120" w:before="0"/>
      </w:pPr>
      <w:r>
        <w:rPr>
          <w:color w:val="0A0A0A"/>
          <w:sz w:val="22"/>
        </w:rPr>
        <w:t>We retain copies of all CDD documentation for a minimum of 5 years from the end of the business relationship, in accordance with Regulation 40 of the MLRs 2017.</w:t>
      </w:r>
    </w:p>
    <w:p>
      <w:pPr>
        <w:spacing w:before="360" w:after="80"/>
      </w:pPr>
      <w:r>
        <w:rPr>
          <w:rFonts w:ascii="Garamond" w:hAnsi="Garamond"/>
          <w:b/>
          <w:color w:val="0A0A0A"/>
          <w:sz w:val="30"/>
        </w:rPr>
        <w:t>5.  Suspicious Activity Reporting</w:t>
      </w:r>
    </w:p>
    <w:p>
      <w:pPr>
        <w:spacing w:after="120" w:before="0"/>
      </w:pPr>
      <w:r>
        <w:rPr>
          <w:color w:val="0A0A0A"/>
          <w:sz w:val="22"/>
        </w:rPr>
        <w:t>Where any member of staff knows or suspects that a client is engaged in money laundering or terrorist financing, they must immediately report this to the MLRO by completing an internal Suspicious Activity Report (SAR). The MLRO will then determine whether to submit a SAR to the National Crime Agency (NCA) via the NCA's online portal.</w:t>
      </w:r>
    </w:p>
    <w:p>
      <w:pPr>
        <w:spacing w:after="120" w:before="0"/>
      </w:pPr>
      <w:r>
        <w:rPr>
          <w:color w:val="0A0A0A"/>
          <w:sz w:val="22"/>
        </w:rPr>
        <w:t>IMPORTANT: Staff must not 'tip off' a client that a SAR has been filed or that they are under investigation. Tipping off is a criminal offence under Section 333A of POCA 2002.</w:t>
      </w:r>
    </w:p>
    <w:p>
      <w:pPr>
        <w:spacing w:before="360" w:after="80"/>
      </w:pPr>
      <w:r>
        <w:rPr>
          <w:rFonts w:ascii="Garamond" w:hAnsi="Garamond"/>
          <w:b/>
          <w:color w:val="0A0A0A"/>
          <w:sz w:val="30"/>
        </w:rPr>
        <w:t>6.  Training</w:t>
      </w:r>
    </w:p>
    <w:p>
      <w:pPr>
        <w:spacing w:after="120" w:before="0"/>
      </w:pPr>
      <w:r>
        <w:rPr>
          <w:color w:val="0A0A0A"/>
          <w:sz w:val="22"/>
        </w:rPr>
        <w:t>All relevant staff receive AML training upon joining the firm and at regular intervals thereafter, and whenever there are material changes to our obligations or procedures. Training records are maintained by the MLRO.</w:t>
      </w:r>
    </w:p>
    <w:p>
      <w:pPr>
        <w:spacing w:before="360" w:after="80"/>
      </w:pPr>
      <w:r>
        <w:rPr>
          <w:rFonts w:ascii="Garamond" w:hAnsi="Garamond"/>
          <w:b/>
          <w:color w:val="0A0A0A"/>
          <w:sz w:val="30"/>
        </w:rPr>
        <w:t>7.  Policy Review</w:t>
      </w:r>
    </w:p>
    <w:p>
      <w:pPr>
        <w:spacing w:after="120" w:before="0"/>
      </w:pPr>
      <w:r>
        <w:rPr>
          <w:color w:val="0A0A0A"/>
          <w:sz w:val="22"/>
        </w:rPr>
        <w:t>This policy is reviewed annually by the MLRO and updated as necessary to reflect changes in legislation, guidance, and best practice. Last reviewed: 15 May 2026.</w:t>
      </w:r>
    </w:p>
    <w:p/>
    <w:p>
      <w:pPr>
        <w:pBdr>
          <w:bottom w:val="single" w:sz="4" w:space="1" w:color="C4C0B8"/>
        </w:pBdr>
      </w:pPr>
    </w:p>
    <w:p/>
    <w:p>
      <w:pPr>
        <w:jc w:val="center"/>
      </w:pPr>
      <w:r>
        <w:rPr>
          <w:color w:val="888480"/>
          <w:sz w:val="17"/>
        </w:rPr>
        <w:t>Watsons &amp; Co · 14 Grey Street, Newcastle upon Tyne, NE1 6AE · +44 (0) 191 946 0123 · hello@watsonsandco.com</w:t>
        <w:br/>
        <w:t>Registered in England &amp; Wales · Company No. 09876543 · Authorised and regulated by The Property Ombudsman (Ref: O-123456)</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