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rFonts w:ascii="Garamond" w:hAnsi="Garamond"/>
          <w:b/>
          <w:color w:val="0A0A0A"/>
          <w:sz w:val="44"/>
        </w:rPr>
        <w:t>WATSONS &amp; CO</w:t>
      </w:r>
    </w:p>
    <w:p>
      <w:pPr>
        <w:jc w:val="center"/>
      </w:pPr>
      <w:r>
        <w:rPr>
          <w:color w:val="888480"/>
          <w:sz w:val="20"/>
        </w:rPr>
        <w:t>Estate Agents  ·  Newcastle upon Tyne</w:t>
      </w:r>
    </w:p>
    <w:p/>
    <w:p>
      <w:pPr>
        <w:pBdr>
          <w:bottom w:val="single" w:sz="4" w:space="1" w:color="C4C0B8"/>
        </w:pBdr>
      </w:pPr>
    </w:p>
    <w:p/>
    <w:p>
      <w:pPr>
        <w:jc w:val="center"/>
      </w:pPr>
      <w:r>
        <w:rPr>
          <w:rFonts w:ascii="Garamond" w:hAnsi="Garamond"/>
          <w:color w:val="0A0A0A"/>
          <w:sz w:val="36"/>
        </w:rPr>
        <w:t>Fees &amp; Charges Schedule</w:t>
      </w:r>
    </w:p>
    <w:p/>
    <w:p>
      <w:pPr>
        <w:jc w:val="center"/>
      </w:pPr>
      <w:r>
        <w:rPr>
          <w:color w:val="888480"/>
          <w:sz w:val="18"/>
        </w:rPr>
        <w:t>Last updated: 15 May 2026</w:t>
      </w:r>
    </w:p>
    <w:p>
      <w:r>
        <w:br w:type="page"/>
      </w:r>
    </w:p>
    <w:p>
      <w:pPr>
        <w:spacing w:before="360" w:after="80"/>
      </w:pPr>
      <w:r>
        <w:rPr>
          <w:rFonts w:ascii="Garamond" w:hAnsi="Garamond"/>
          <w:b/>
          <w:color w:val="0A0A0A"/>
          <w:sz w:val="30"/>
        </w:rPr>
        <w:t>1.  Introduction</w:t>
      </w:r>
    </w:p>
    <w:p>
      <w:pPr>
        <w:spacing w:after="120" w:before="0"/>
      </w:pPr>
      <w:r>
        <w:rPr>
          <w:color w:val="0A0A0A"/>
          <w:sz w:val="22"/>
        </w:rPr>
        <w:t>In accordance with the Consumer Protection from Unfair Trading Regulations 2008 and our obligations as a member of The Property Ombudsman, Watsons &amp; Co is committed to full transparency regarding all fees and charges. This schedule sets out the fees that may apply to our services.</w:t>
      </w:r>
    </w:p>
    <w:p>
      <w:pPr>
        <w:spacing w:after="120" w:before="0"/>
      </w:pPr>
      <w:r>
        <w:rPr>
          <w:color w:val="0A0A0A"/>
          <w:sz w:val="22"/>
        </w:rPr>
        <w:t>All fees are exclusive of VAT unless otherwise stated. VAT at the current rate will be applied to all fees. Specific fee arrangements will be confirmed in your Letter of Engagement or Lettings Agreement before you commit to using our services.</w:t>
      </w:r>
    </w:p>
    <w:p>
      <w:pPr>
        <w:spacing w:before="360" w:after="80"/>
      </w:pPr>
      <w:r>
        <w:rPr>
          <w:rFonts w:ascii="Garamond" w:hAnsi="Garamond"/>
          <w:b/>
          <w:color w:val="0A0A0A"/>
          <w:sz w:val="30"/>
        </w:rPr>
        <w:t>2.  Sales Fees</w:t>
      </w:r>
    </w:p>
    <w:p>
      <w:pPr>
        <w:spacing w:before="240" w:after="40"/>
      </w:pPr>
      <w:r>
        <w:rPr>
          <w:rFonts w:ascii="Calibri" w:hAnsi="Calibri"/>
          <w:b/>
          <w:color w:val="0A0A0A"/>
          <w:sz w:val="23"/>
        </w:rPr>
        <w:t>2.1  Sole agency</w:t>
      </w:r>
    </w:p>
    <w:p>
      <w:pPr>
        <w:spacing w:after="120" w:before="0"/>
      </w:pPr>
      <w:r>
        <w:rPr>
          <w:color w:val="0A0A0A"/>
          <w:sz w:val="22"/>
        </w:rPr>
        <w:t>Our standard commission for selling your property on a sole agency basis is 1.25% + VAT of the agreed sale price (minimum fee £3,000 + VAT). This fee is payable upon exchange of contracts.</w:t>
      </w:r>
    </w:p>
    <w:p>
      <w:pPr>
        <w:spacing w:before="240" w:after="40"/>
      </w:pPr>
      <w:r>
        <w:rPr>
          <w:rFonts w:ascii="Calibri" w:hAnsi="Calibri"/>
          <w:b/>
          <w:color w:val="0A0A0A"/>
          <w:sz w:val="23"/>
        </w:rPr>
        <w:t>2.2  Joint agency</w:t>
      </w:r>
    </w:p>
    <w:p>
      <w:pPr>
        <w:spacing w:after="120" w:before="0"/>
      </w:pPr>
      <w:r>
        <w:rPr>
          <w:color w:val="0A0A0A"/>
          <w:sz w:val="22"/>
        </w:rPr>
        <w:t>Where you instruct us alongside another agent, our fee is 1.75% + VAT of the agreed sale price. In a joint agency arrangement the full fee is payable to whichever agent introduces the buyer.</w:t>
      </w:r>
    </w:p>
    <w:p>
      <w:pPr>
        <w:spacing w:before="240" w:after="40"/>
      </w:pPr>
      <w:r>
        <w:rPr>
          <w:rFonts w:ascii="Calibri" w:hAnsi="Calibri"/>
          <w:b/>
          <w:color w:val="0A0A0A"/>
          <w:sz w:val="23"/>
        </w:rPr>
        <w:t>2.3  Additional sales services</w:t>
      </w:r>
    </w:p>
    <w:tbl>
      <w:tblPr>
        <w:tblStyle w:val="TableGrid"/>
        <w:tblW w:type="auto" w:w="0"/>
        <w:tblLook w:firstColumn="1" w:firstRow="1" w:lastColumn="0" w:lastRow="0" w:noHBand="0" w:noVBand="1" w:val="04A0"/>
      </w:tblPr>
      <w:tblGrid>
        <w:gridCol w:w="4419"/>
        <w:gridCol w:w="4419"/>
      </w:tblGrid>
      <w:tr>
        <w:tc>
          <w:tcPr>
            <w:tcW w:type="dxa" w:w="4419"/>
          </w:tcPr>
          <w:p>
            <w:r>
              <w:rPr>
                <w:b/>
              </w:rPr>
              <w:t>Service</w:t>
            </w:r>
          </w:p>
        </w:tc>
        <w:tc>
          <w:tcPr>
            <w:tcW w:type="dxa" w:w="4419"/>
          </w:tcPr>
          <w:p>
            <w:r>
              <w:rPr>
                <w:b/>
              </w:rPr>
              <w:t>Fee</w:t>
            </w:r>
          </w:p>
        </w:tc>
      </w:tr>
      <w:tr>
        <w:tc>
          <w:tcPr>
            <w:tcW w:type="dxa" w:w="4419"/>
          </w:tcPr>
          <w:p>
            <w:r>
              <w:rPr>
                <w:sz w:val="20"/>
              </w:rPr>
              <w:t>Professional photography (included in sole agency)</w:t>
            </w:r>
          </w:p>
        </w:tc>
        <w:tc>
          <w:tcPr>
            <w:tcW w:type="dxa" w:w="4419"/>
          </w:tcPr>
          <w:p>
            <w:r>
              <w:rPr>
                <w:sz w:val="20"/>
              </w:rPr>
              <w:t>Included</w:t>
            </w:r>
          </w:p>
        </w:tc>
      </w:tr>
      <w:tr>
        <w:tc>
          <w:tcPr>
            <w:tcW w:type="dxa" w:w="4419"/>
          </w:tcPr>
          <w:p>
            <w:r>
              <w:rPr>
                <w:sz w:val="20"/>
              </w:rPr>
              <w:t>Floorplan (included in sole agency)</w:t>
            </w:r>
          </w:p>
        </w:tc>
        <w:tc>
          <w:tcPr>
            <w:tcW w:type="dxa" w:w="4419"/>
          </w:tcPr>
          <w:p>
            <w:r>
              <w:rPr>
                <w:sz w:val="20"/>
              </w:rPr>
              <w:t>Included</w:t>
            </w:r>
          </w:p>
        </w:tc>
      </w:tr>
      <w:tr>
        <w:tc>
          <w:tcPr>
            <w:tcW w:type="dxa" w:w="4419"/>
          </w:tcPr>
          <w:p>
            <w:r>
              <w:rPr>
                <w:sz w:val="20"/>
              </w:rPr>
              <w:t>Energy Performance Certificate (EPC)</w:t>
            </w:r>
          </w:p>
        </w:tc>
        <w:tc>
          <w:tcPr>
            <w:tcW w:type="dxa" w:w="4419"/>
          </w:tcPr>
          <w:p>
            <w:r>
              <w:rPr>
                <w:sz w:val="20"/>
              </w:rPr>
              <w:t>£90 + VAT</w:t>
            </w:r>
          </w:p>
        </w:tc>
      </w:tr>
      <w:tr>
        <w:tc>
          <w:tcPr>
            <w:tcW w:type="dxa" w:w="4419"/>
          </w:tcPr>
          <w:p>
            <w:r>
              <w:rPr>
                <w:sz w:val="20"/>
              </w:rPr>
              <w:t>Enhanced photography / drone photography</w:t>
            </w:r>
          </w:p>
        </w:tc>
        <w:tc>
          <w:tcPr>
            <w:tcW w:type="dxa" w:w="4419"/>
          </w:tcPr>
          <w:p>
            <w:r>
              <w:rPr>
                <w:sz w:val="20"/>
              </w:rPr>
              <w:t>From £250 + VAT</w:t>
            </w:r>
          </w:p>
        </w:tc>
      </w:tr>
      <w:tr>
        <w:tc>
          <w:tcPr>
            <w:tcW w:type="dxa" w:w="4419"/>
          </w:tcPr>
          <w:p>
            <w:r>
              <w:rPr>
                <w:sz w:val="20"/>
              </w:rPr>
              <w:t>Accompanied viewings (if required beyond standard service)</w:t>
            </w:r>
          </w:p>
        </w:tc>
        <w:tc>
          <w:tcPr>
            <w:tcW w:type="dxa" w:w="4419"/>
          </w:tcPr>
          <w:p>
            <w:r>
              <w:rPr>
                <w:sz w:val="20"/>
              </w:rPr>
              <w:t>£75 per viewing + VAT</w:t>
            </w:r>
          </w:p>
        </w:tc>
      </w:tr>
    </w:tbl>
    <w:p/>
    <w:p>
      <w:pPr>
        <w:spacing w:before="360" w:after="80"/>
      </w:pPr>
      <w:r>
        <w:rPr>
          <w:rFonts w:ascii="Garamond" w:hAnsi="Garamond"/>
          <w:b/>
          <w:color w:val="0A0A0A"/>
          <w:sz w:val="30"/>
        </w:rPr>
        <w:t>3.  Lettings Fees — Landlords</w:t>
      </w:r>
    </w:p>
    <w:p>
      <w:pPr>
        <w:spacing w:before="240" w:after="40"/>
      </w:pPr>
      <w:r>
        <w:rPr>
          <w:rFonts w:ascii="Calibri" w:hAnsi="Calibri"/>
          <w:b/>
          <w:color w:val="0A0A0A"/>
          <w:sz w:val="23"/>
        </w:rPr>
        <w:t>3.1  Tenant-find service</w:t>
      </w:r>
    </w:p>
    <w:p>
      <w:pPr>
        <w:spacing w:after="120" w:before="0"/>
      </w:pPr>
      <w:r>
        <w:rPr>
          <w:color w:val="0A0A0A"/>
          <w:sz w:val="22"/>
        </w:rPr>
        <w:t>We will market your property, conduct viewings, reference tenants, and prepare a tenancy agreement. Fee: equivalent to one month's rent + VAT (minimum £750 + VAT).</w:t>
      </w:r>
    </w:p>
    <w:p>
      <w:pPr>
        <w:spacing w:before="240" w:after="40"/>
      </w:pPr>
      <w:r>
        <w:rPr>
          <w:rFonts w:ascii="Calibri" w:hAnsi="Calibri"/>
          <w:b/>
          <w:color w:val="0A0A0A"/>
          <w:sz w:val="23"/>
        </w:rPr>
        <w:t>3.2  Fully managed service</w:t>
      </w:r>
    </w:p>
    <w:p>
      <w:pPr>
        <w:spacing w:after="120" w:before="0"/>
      </w:pPr>
      <w:r>
        <w:rPr>
          <w:color w:val="0A0A0A"/>
          <w:sz w:val="22"/>
        </w:rPr>
        <w:t>In addition to the tenant-find service, we collect rent, manage maintenance and repairs, conduct periodic inspections, and handle all tenant communications throughout the tenancy. Fee: 12% of the monthly rent + VAT (ongoing, collected monthly).</w:t>
      </w:r>
    </w:p>
    <w:p>
      <w:pPr>
        <w:spacing w:before="240" w:after="40"/>
      </w:pPr>
      <w:r>
        <w:rPr>
          <w:rFonts w:ascii="Calibri" w:hAnsi="Calibri"/>
          <w:b/>
          <w:color w:val="0A0A0A"/>
          <w:sz w:val="23"/>
        </w:rPr>
        <w:t>3.3  Additional landlord services</w:t>
      </w:r>
    </w:p>
    <w:tbl>
      <w:tblPr>
        <w:tblStyle w:val="TableGrid"/>
        <w:tblW w:type="auto" w:w="0"/>
        <w:tblLook w:firstColumn="1" w:firstRow="1" w:lastColumn="0" w:lastRow="0" w:noHBand="0" w:noVBand="1" w:val="04A0"/>
      </w:tblPr>
      <w:tblGrid>
        <w:gridCol w:w="4419"/>
        <w:gridCol w:w="4419"/>
      </w:tblGrid>
      <w:tr>
        <w:tc>
          <w:tcPr>
            <w:tcW w:type="dxa" w:w="4419"/>
          </w:tcPr>
          <w:p>
            <w:r>
              <w:rPr>
                <w:b/>
              </w:rPr>
              <w:t>Service</w:t>
            </w:r>
          </w:p>
        </w:tc>
        <w:tc>
          <w:tcPr>
            <w:tcW w:type="dxa" w:w="4419"/>
          </w:tcPr>
          <w:p>
            <w:r>
              <w:rPr>
                <w:b/>
              </w:rPr>
              <w:t>Fee</w:t>
            </w:r>
          </w:p>
        </w:tc>
      </w:tr>
      <w:tr>
        <w:tc>
          <w:tcPr>
            <w:tcW w:type="dxa" w:w="4419"/>
          </w:tcPr>
          <w:p>
            <w:r>
              <w:rPr>
                <w:sz w:val="20"/>
              </w:rPr>
              <w:t>Inventory preparation (check-in)</w:t>
            </w:r>
          </w:p>
        </w:tc>
        <w:tc>
          <w:tcPr>
            <w:tcW w:type="dxa" w:w="4419"/>
          </w:tcPr>
          <w:p>
            <w:r>
              <w:rPr>
                <w:sz w:val="20"/>
              </w:rPr>
              <w:t>From £120 + VAT</w:t>
            </w:r>
          </w:p>
        </w:tc>
      </w:tr>
      <w:tr>
        <w:tc>
          <w:tcPr>
            <w:tcW w:type="dxa" w:w="4419"/>
          </w:tcPr>
          <w:p>
            <w:r>
              <w:rPr>
                <w:sz w:val="20"/>
              </w:rPr>
              <w:t>Inventory check-out report</w:t>
            </w:r>
          </w:p>
        </w:tc>
        <w:tc>
          <w:tcPr>
            <w:tcW w:type="dxa" w:w="4419"/>
          </w:tcPr>
          <w:p>
            <w:r>
              <w:rPr>
                <w:sz w:val="20"/>
              </w:rPr>
              <w:t>From £100 + VAT</w:t>
            </w:r>
          </w:p>
        </w:tc>
      </w:tr>
      <w:tr>
        <w:tc>
          <w:tcPr>
            <w:tcW w:type="dxa" w:w="4419"/>
          </w:tcPr>
          <w:p>
            <w:r>
              <w:rPr>
                <w:sz w:val="20"/>
              </w:rPr>
              <w:t>Deposit registration and protection</w:t>
            </w:r>
          </w:p>
        </w:tc>
        <w:tc>
          <w:tcPr>
            <w:tcW w:type="dxa" w:w="4419"/>
          </w:tcPr>
          <w:p>
            <w:r>
              <w:rPr>
                <w:sz w:val="20"/>
              </w:rPr>
              <w:t>£50 + VAT</w:t>
            </w:r>
          </w:p>
        </w:tc>
      </w:tr>
      <w:tr>
        <w:tc>
          <w:tcPr>
            <w:tcW w:type="dxa" w:w="4419"/>
          </w:tcPr>
          <w:p>
            <w:r>
              <w:rPr>
                <w:sz w:val="20"/>
              </w:rPr>
              <w:t>Tenancy renewal (fixed term)</w:t>
            </w:r>
          </w:p>
        </w:tc>
        <w:tc>
          <w:tcPr>
            <w:tcW w:type="dxa" w:w="4419"/>
          </w:tcPr>
          <w:p>
            <w:r>
              <w:rPr>
                <w:sz w:val="20"/>
              </w:rPr>
              <w:t>£150 + VAT</w:t>
            </w:r>
          </w:p>
        </w:tc>
      </w:tr>
      <w:tr>
        <w:tc>
          <w:tcPr>
            <w:tcW w:type="dxa" w:w="4419"/>
          </w:tcPr>
          <w:p>
            <w:r>
              <w:rPr>
                <w:sz w:val="20"/>
              </w:rPr>
              <w:t>Section 21 / Section 8 notice service</w:t>
            </w:r>
          </w:p>
        </w:tc>
        <w:tc>
          <w:tcPr>
            <w:tcW w:type="dxa" w:w="4419"/>
          </w:tcPr>
          <w:p>
            <w:r>
              <w:rPr>
                <w:sz w:val="20"/>
              </w:rPr>
              <w:t>£200 + VAT</w:t>
            </w:r>
          </w:p>
        </w:tc>
      </w:tr>
      <w:tr>
        <w:tc>
          <w:tcPr>
            <w:tcW w:type="dxa" w:w="4419"/>
          </w:tcPr>
          <w:p>
            <w:r>
              <w:rPr>
                <w:sz w:val="20"/>
              </w:rPr>
              <w:t>Energy Performance Certificate (EPC)</w:t>
            </w:r>
          </w:p>
        </w:tc>
        <w:tc>
          <w:tcPr>
            <w:tcW w:type="dxa" w:w="4419"/>
          </w:tcPr>
          <w:p>
            <w:r>
              <w:rPr>
                <w:sz w:val="20"/>
              </w:rPr>
              <w:t>£90 + VAT</w:t>
            </w:r>
          </w:p>
        </w:tc>
      </w:tr>
      <w:tr>
        <w:tc>
          <w:tcPr>
            <w:tcW w:type="dxa" w:w="4419"/>
          </w:tcPr>
          <w:p>
            <w:r>
              <w:rPr>
                <w:sz w:val="20"/>
              </w:rPr>
              <w:t>Gas Safety Certificate (arrangement)</w:t>
            </w:r>
          </w:p>
        </w:tc>
        <w:tc>
          <w:tcPr>
            <w:tcW w:type="dxa" w:w="4419"/>
          </w:tcPr>
          <w:p>
            <w:r>
              <w:rPr>
                <w:sz w:val="20"/>
              </w:rPr>
              <w:t>At cost</w:t>
            </w:r>
          </w:p>
        </w:tc>
      </w:tr>
      <w:tr>
        <w:tc>
          <w:tcPr>
            <w:tcW w:type="dxa" w:w="4419"/>
          </w:tcPr>
          <w:p>
            <w:r>
              <w:rPr>
                <w:sz w:val="20"/>
              </w:rPr>
              <w:t>EICR (Electrical Installation Condition Report)</w:t>
            </w:r>
          </w:p>
        </w:tc>
        <w:tc>
          <w:tcPr>
            <w:tcW w:type="dxa" w:w="4419"/>
          </w:tcPr>
          <w:p>
            <w:r>
              <w:rPr>
                <w:sz w:val="20"/>
              </w:rPr>
              <w:t>At cost</w:t>
            </w:r>
          </w:p>
        </w:tc>
      </w:tr>
    </w:tbl>
    <w:p/>
    <w:p>
      <w:pPr>
        <w:spacing w:before="360" w:after="80"/>
      </w:pPr>
      <w:r>
        <w:rPr>
          <w:rFonts w:ascii="Garamond" w:hAnsi="Garamond"/>
          <w:b/>
          <w:color w:val="0A0A0A"/>
          <w:sz w:val="30"/>
        </w:rPr>
        <w:t>4.  Fees Payable by Tenants</w:t>
      </w:r>
    </w:p>
    <w:p>
      <w:pPr>
        <w:spacing w:after="120" w:before="0"/>
      </w:pPr>
      <w:r>
        <w:rPr>
          <w:color w:val="0A0A0A"/>
          <w:sz w:val="22"/>
        </w:rPr>
        <w:t>In accordance with the Tenant Fees Act 2019, the only payments that can be charged to tenants in connection with a residential tenancy in England are:</w:t>
      </w:r>
    </w:p>
    <w:tbl>
      <w:tblPr>
        <w:tblStyle w:val="TableGrid"/>
        <w:tblW w:type="auto" w:w="0"/>
        <w:tblLook w:firstColumn="1" w:firstRow="1" w:lastColumn="0" w:lastRow="0" w:noHBand="0" w:noVBand="1" w:val="04A0"/>
      </w:tblPr>
      <w:tblGrid>
        <w:gridCol w:w="4419"/>
        <w:gridCol w:w="4419"/>
      </w:tblGrid>
      <w:tr>
        <w:tc>
          <w:tcPr>
            <w:tcW w:type="dxa" w:w="4419"/>
          </w:tcPr>
          <w:p>
            <w:r>
              <w:rPr>
                <w:b/>
              </w:rPr>
              <w:t>Permitted payment</w:t>
            </w:r>
          </w:p>
        </w:tc>
        <w:tc>
          <w:tcPr>
            <w:tcW w:type="dxa" w:w="4419"/>
          </w:tcPr>
          <w:p>
            <w:r>
              <w:rPr>
                <w:b/>
              </w:rPr>
              <w:t>Amount / Notes</w:t>
            </w:r>
          </w:p>
        </w:tc>
      </w:tr>
      <w:tr>
        <w:tc>
          <w:tcPr>
            <w:tcW w:type="dxa" w:w="4419"/>
          </w:tcPr>
          <w:p>
            <w:r>
              <w:rPr>
                <w:sz w:val="20"/>
              </w:rPr>
              <w:t>Rent</w:t>
            </w:r>
          </w:p>
        </w:tc>
        <w:tc>
          <w:tcPr>
            <w:tcW w:type="dxa" w:w="4419"/>
          </w:tcPr>
          <w:p>
            <w:r>
              <w:rPr>
                <w:sz w:val="20"/>
              </w:rPr>
              <w:t>As agreed in the tenancy agreement</w:t>
            </w:r>
          </w:p>
        </w:tc>
      </w:tr>
      <w:tr>
        <w:tc>
          <w:tcPr>
            <w:tcW w:type="dxa" w:w="4419"/>
          </w:tcPr>
          <w:p>
            <w:r>
              <w:rPr>
                <w:sz w:val="20"/>
              </w:rPr>
              <w:t>Refundable tenancy deposit</w:t>
            </w:r>
          </w:p>
        </w:tc>
        <w:tc>
          <w:tcPr>
            <w:tcW w:type="dxa" w:w="4419"/>
          </w:tcPr>
          <w:p>
            <w:r>
              <w:rPr>
                <w:sz w:val="20"/>
              </w:rPr>
              <w:t>Maximum 5 weeks' rent (annual rent under £50,000)</w:t>
            </w:r>
          </w:p>
        </w:tc>
      </w:tr>
      <w:tr>
        <w:tc>
          <w:tcPr>
            <w:tcW w:type="dxa" w:w="4419"/>
          </w:tcPr>
          <w:p>
            <w:r>
              <w:rPr>
                <w:sz w:val="20"/>
              </w:rPr>
              <w:t>Refundable holding deposit</w:t>
            </w:r>
          </w:p>
        </w:tc>
        <w:tc>
          <w:tcPr>
            <w:tcW w:type="dxa" w:w="4419"/>
          </w:tcPr>
          <w:p>
            <w:r>
              <w:rPr>
                <w:sz w:val="20"/>
              </w:rPr>
              <w:t>Maximum 1 week's rent; returned within 15 days</w:t>
            </w:r>
          </w:p>
        </w:tc>
      </w:tr>
      <w:tr>
        <w:tc>
          <w:tcPr>
            <w:tcW w:type="dxa" w:w="4419"/>
          </w:tcPr>
          <w:p>
            <w:r>
              <w:rPr>
                <w:sz w:val="20"/>
              </w:rPr>
              <w:t>Changes to the tenancy (tenant request)</w:t>
            </w:r>
          </w:p>
        </w:tc>
        <w:tc>
          <w:tcPr>
            <w:tcW w:type="dxa" w:w="4419"/>
          </w:tcPr>
          <w:p>
            <w:r>
              <w:rPr>
                <w:sz w:val="20"/>
              </w:rPr>
              <w:t>Maximum £50 + VAT per variation</w:t>
            </w:r>
          </w:p>
        </w:tc>
      </w:tr>
      <w:tr>
        <w:tc>
          <w:tcPr>
            <w:tcW w:type="dxa" w:w="4419"/>
          </w:tcPr>
          <w:p>
            <w:r>
              <w:rPr>
                <w:sz w:val="20"/>
              </w:rPr>
              <w:t>Early termination (tenant request)</w:t>
            </w:r>
          </w:p>
        </w:tc>
        <w:tc>
          <w:tcPr>
            <w:tcW w:type="dxa" w:w="4419"/>
          </w:tcPr>
          <w:p>
            <w:r>
              <w:rPr>
                <w:sz w:val="20"/>
              </w:rPr>
              <w:t>Landlord's reasonable costs only</w:t>
            </w:r>
          </w:p>
        </w:tc>
      </w:tr>
      <w:tr>
        <w:tc>
          <w:tcPr>
            <w:tcW w:type="dxa" w:w="4419"/>
          </w:tcPr>
          <w:p>
            <w:r>
              <w:rPr>
                <w:sz w:val="20"/>
              </w:rPr>
              <w:t>Utilities and council tax</w:t>
            </w:r>
          </w:p>
        </w:tc>
        <w:tc>
          <w:tcPr>
            <w:tcW w:type="dxa" w:w="4419"/>
          </w:tcPr>
          <w:p>
            <w:r>
              <w:rPr>
                <w:sz w:val="20"/>
              </w:rPr>
              <w:t>As applicable and set out in the tenancy agreement</w:t>
            </w:r>
          </w:p>
        </w:tc>
      </w:tr>
      <w:tr>
        <w:tc>
          <w:tcPr>
            <w:tcW w:type="dxa" w:w="4419"/>
          </w:tcPr>
          <w:p>
            <w:r>
              <w:rPr>
                <w:sz w:val="20"/>
              </w:rPr>
              <w:t>Default charges — late rent</w:t>
            </w:r>
          </w:p>
        </w:tc>
        <w:tc>
          <w:tcPr>
            <w:tcW w:type="dxa" w:w="4419"/>
          </w:tcPr>
          <w:p>
            <w:r>
              <w:rPr>
                <w:sz w:val="20"/>
              </w:rPr>
              <w:t>Interest at 3% above Bank of England base rate (after 14 days)</w:t>
            </w:r>
          </w:p>
        </w:tc>
      </w:tr>
      <w:tr>
        <w:tc>
          <w:tcPr>
            <w:tcW w:type="dxa" w:w="4419"/>
          </w:tcPr>
          <w:p>
            <w:r>
              <w:rPr>
                <w:sz w:val="20"/>
              </w:rPr>
              <w:t>Default charges — lost key/security device</w:t>
            </w:r>
          </w:p>
        </w:tc>
        <w:tc>
          <w:tcPr>
            <w:tcW w:type="dxa" w:w="4419"/>
          </w:tcPr>
          <w:p>
            <w:r>
              <w:rPr>
                <w:sz w:val="20"/>
              </w:rPr>
              <w:t>Reasonable costs evidenced in writing</w:t>
            </w:r>
          </w:p>
        </w:tc>
      </w:tr>
    </w:tbl>
    <w:p/>
    <w:p>
      <w:pPr>
        <w:spacing w:after="120" w:before="0"/>
      </w:pPr>
      <w:r>
        <w:rPr>
          <w:color w:val="0A0A0A"/>
          <w:sz w:val="22"/>
        </w:rPr>
        <w:t>We do not charge any fees to tenants that are not permitted under the Tenant Fees Act 2019. Any prohibited payment will be refunded in full.</w:t>
      </w:r>
    </w:p>
    <w:p>
      <w:pPr>
        <w:spacing w:before="360" w:after="80"/>
      </w:pPr>
      <w:r>
        <w:rPr>
          <w:rFonts w:ascii="Garamond" w:hAnsi="Garamond"/>
          <w:b/>
          <w:color w:val="0A0A0A"/>
          <w:sz w:val="30"/>
        </w:rPr>
        <w:t>5.  Valuation Services</w:t>
      </w:r>
    </w:p>
    <w:tbl>
      <w:tblPr>
        <w:tblStyle w:val="TableGrid"/>
        <w:tblW w:type="auto" w:w="0"/>
        <w:tblLook w:firstColumn="1" w:firstRow="1" w:lastColumn="0" w:lastRow="0" w:noHBand="0" w:noVBand="1" w:val="04A0"/>
      </w:tblPr>
      <w:tblGrid>
        <w:gridCol w:w="4419"/>
        <w:gridCol w:w="4419"/>
      </w:tblGrid>
      <w:tr>
        <w:tc>
          <w:tcPr>
            <w:tcW w:type="dxa" w:w="4419"/>
          </w:tcPr>
          <w:p>
            <w:r>
              <w:rPr>
                <w:b/>
              </w:rPr>
              <w:t>Service</w:t>
            </w:r>
          </w:p>
        </w:tc>
        <w:tc>
          <w:tcPr>
            <w:tcW w:type="dxa" w:w="4419"/>
          </w:tcPr>
          <w:p>
            <w:r>
              <w:rPr>
                <w:b/>
              </w:rPr>
              <w:t>Fee</w:t>
            </w:r>
          </w:p>
        </w:tc>
      </w:tr>
      <w:tr>
        <w:tc>
          <w:tcPr>
            <w:tcW w:type="dxa" w:w="4419"/>
          </w:tcPr>
          <w:p>
            <w:r>
              <w:rPr>
                <w:sz w:val="20"/>
              </w:rPr>
              <w:t>Market appraisal (for sale or let)</w:t>
            </w:r>
          </w:p>
        </w:tc>
        <w:tc>
          <w:tcPr>
            <w:tcW w:type="dxa" w:w="4419"/>
          </w:tcPr>
          <w:p>
            <w:r>
              <w:rPr>
                <w:sz w:val="20"/>
              </w:rPr>
              <w:t>Free, no obligation</w:t>
            </w:r>
          </w:p>
        </w:tc>
      </w:tr>
      <w:tr>
        <w:tc>
          <w:tcPr>
            <w:tcW w:type="dxa" w:w="4419"/>
          </w:tcPr>
          <w:p>
            <w:r>
              <w:rPr>
                <w:sz w:val="20"/>
              </w:rPr>
              <w:t>Written valuation for probate / matrimonial / other legal purposes</w:t>
            </w:r>
          </w:p>
        </w:tc>
        <w:tc>
          <w:tcPr>
            <w:tcW w:type="dxa" w:w="4419"/>
          </w:tcPr>
          <w:p>
            <w:r>
              <w:rPr>
                <w:sz w:val="20"/>
              </w:rPr>
              <w:t>From £250 + VAT</w:t>
            </w:r>
          </w:p>
        </w:tc>
      </w:tr>
    </w:tbl>
    <w:p/>
    <w:p>
      <w:pPr>
        <w:spacing w:before="360" w:after="80"/>
      </w:pPr>
      <w:r>
        <w:rPr>
          <w:rFonts w:ascii="Garamond" w:hAnsi="Garamond"/>
          <w:b/>
          <w:color w:val="0A0A0A"/>
          <w:sz w:val="30"/>
        </w:rPr>
        <w:t>6.  Client Money Protection</w:t>
      </w:r>
    </w:p>
    <w:p>
      <w:pPr>
        <w:spacing w:after="120" w:before="0"/>
      </w:pPr>
      <w:r>
        <w:rPr>
          <w:color w:val="0A0A0A"/>
          <w:sz w:val="22"/>
        </w:rPr>
        <w:t>Where we handle client money, this is protected by the Propertymark Client Money Protection scheme. A copy of our CMP certificate is available upon request and is displayed in our office.</w:t>
      </w:r>
    </w:p>
    <w:p>
      <w:pPr>
        <w:spacing w:before="360" w:after="80"/>
      </w:pPr>
      <w:r>
        <w:rPr>
          <w:rFonts w:ascii="Garamond" w:hAnsi="Garamond"/>
          <w:b/>
          <w:color w:val="0A0A0A"/>
          <w:sz w:val="30"/>
        </w:rPr>
        <w:t>7.  Redress Scheme</w:t>
      </w:r>
    </w:p>
    <w:p>
      <w:pPr>
        <w:spacing w:after="120" w:before="0"/>
      </w:pPr>
      <w:r>
        <w:rPr>
          <w:color w:val="0A0A0A"/>
          <w:sz w:val="22"/>
        </w:rPr>
        <w:t>Watsons &amp; Co is a member of The Property Ombudsman (TPO) redress scheme (Ref: O-123456). TPO membership details are displayed in our office and on our website.</w:t>
      </w:r>
    </w:p>
    <w:p>
      <w:pPr>
        <w:spacing w:before="360" w:after="80"/>
      </w:pPr>
      <w:r>
        <w:rPr>
          <w:rFonts w:ascii="Garamond" w:hAnsi="Garamond"/>
          <w:b/>
          <w:color w:val="0A0A0A"/>
          <w:sz w:val="30"/>
        </w:rPr>
        <w:t>8.  Changes to Fees</w:t>
      </w:r>
    </w:p>
    <w:p>
      <w:pPr>
        <w:spacing w:after="120" w:before="0"/>
      </w:pPr>
      <w:r>
        <w:rPr>
          <w:color w:val="0A0A0A"/>
          <w:sz w:val="22"/>
        </w:rPr>
        <w:t>We reserve the right to amend our fees from time to time. Any changes will be notified to you in writing before they take effect. This schedule was last updated on 15 May 2026.</w:t>
      </w:r>
    </w:p>
    <w:p/>
    <w:p>
      <w:pPr>
        <w:pBdr>
          <w:bottom w:val="single" w:sz="4" w:space="1" w:color="C4C0B8"/>
        </w:pBdr>
      </w:pPr>
    </w:p>
    <w:p/>
    <w:p>
      <w:pPr>
        <w:jc w:val="center"/>
      </w:pPr>
      <w:r>
        <w:rPr>
          <w:color w:val="888480"/>
          <w:sz w:val="17"/>
        </w:rPr>
        <w:t>Watsons &amp; Co · 14 Grey Street, Newcastle upon Tyne, NE1 6AE · +44 (0) 191 946 0123 · hello@watsonsandco.com</w:t>
        <w:br/>
        <w:t>Registered in England &amp; Wales · Company No. 09876543 · Authorised and regulated by The Property Ombudsman (Ref: O-123456)</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A0A0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