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aramond" w:hAnsi="Garamond"/>
          <w:b/>
          <w:color w:val="0A0A0A"/>
          <w:sz w:val="44"/>
        </w:rPr>
        <w:t>WATSONS &amp; CO</w:t>
      </w:r>
    </w:p>
    <w:p>
      <w:pPr>
        <w:jc w:val="center"/>
      </w:pPr>
      <w:r>
        <w:rPr>
          <w:color w:val="888480"/>
          <w:sz w:val="20"/>
        </w:rPr>
        <w:t>Estate Agents  ·  Newcastle upon Tyne</w:t>
      </w:r>
    </w:p>
    <w:p/>
    <w:p>
      <w:pPr>
        <w:pBdr>
          <w:bottom w:val="single" w:sz="4" w:space="1" w:color="C4C0B8"/>
        </w:pBdr>
      </w:pPr>
    </w:p>
    <w:p/>
    <w:p>
      <w:pPr>
        <w:jc w:val="center"/>
      </w:pPr>
      <w:r>
        <w:rPr>
          <w:rFonts w:ascii="Garamond" w:hAnsi="Garamond"/>
          <w:color w:val="0A0A0A"/>
          <w:sz w:val="36"/>
        </w:rPr>
        <w:t>Privacy Policy</w:t>
      </w:r>
    </w:p>
    <w:p/>
    <w:p>
      <w:pPr>
        <w:jc w:val="center"/>
      </w:pPr>
      <w:r>
        <w:rPr>
          <w:color w:val="888480"/>
          <w:sz w:val="18"/>
        </w:rPr>
        <w:t>Last updated: 15 May 2026</w:t>
      </w:r>
    </w:p>
    <w:p>
      <w:r>
        <w:br w:type="page"/>
      </w:r>
    </w:p>
    <w:p>
      <w:pPr>
        <w:spacing w:before="360" w:after="80"/>
      </w:pPr>
      <w:r>
        <w:rPr>
          <w:rFonts w:ascii="Garamond" w:hAnsi="Garamond"/>
          <w:b/>
          <w:color w:val="0A0A0A"/>
          <w:sz w:val="30"/>
        </w:rPr>
        <w:t>1.  Introduction</w:t>
      </w:r>
    </w:p>
    <w:p>
      <w:pPr>
        <w:spacing w:after="120" w:before="0"/>
      </w:pPr>
      <w:r>
        <w:rPr>
          <w:color w:val="0A0A0A"/>
          <w:sz w:val="22"/>
        </w:rPr>
        <w:t>Watsons &amp; Co ('we', 'us', 'our') is committed to protecting and respecting your privacy. This Privacy Policy explains how we collect, use, disclose, and safeguard your personal information when you visit www.watsonsandco.com, use our services, or engage with us in connection with the purchase, sale, or letting of residential property.</w:t>
      </w:r>
    </w:p>
    <w:p>
      <w:pPr>
        <w:spacing w:after="120" w:before="0"/>
      </w:pPr>
      <w:r>
        <w:rPr>
          <w:color w:val="0A0A0A"/>
          <w:sz w:val="22"/>
        </w:rPr>
        <w:t>We are registered with the Information Commissioner's Office (ICO) under registration number ZA123456. Our registered office is 14 Grey Street, Newcastle upon Tyne, NE1 6AE.</w:t>
      </w:r>
    </w:p>
    <w:p>
      <w:pPr>
        <w:spacing w:before="360" w:after="80"/>
      </w:pPr>
      <w:r>
        <w:rPr>
          <w:rFonts w:ascii="Garamond" w:hAnsi="Garamond"/>
          <w:b/>
          <w:color w:val="0A0A0A"/>
          <w:sz w:val="30"/>
        </w:rPr>
        <w:t>2.  Data Controller</w:t>
      </w:r>
    </w:p>
    <w:p>
      <w:pPr>
        <w:spacing w:after="60"/>
      </w:pPr>
      <w:r>
        <w:rPr>
          <w:b/>
          <w:sz w:val="22"/>
        </w:rPr>
        <w:t xml:space="preserve">Company name:  </w:t>
      </w:r>
      <w:r>
        <w:rPr>
          <w:color w:val="0A0A0A"/>
          <w:sz w:val="22"/>
        </w:rPr>
        <w:t>Watsons &amp; Co</w:t>
      </w:r>
    </w:p>
    <w:p>
      <w:pPr>
        <w:spacing w:after="60"/>
      </w:pPr>
      <w:r>
        <w:rPr>
          <w:b/>
          <w:sz w:val="22"/>
        </w:rPr>
        <w:t xml:space="preserve">Registered address:  </w:t>
      </w:r>
      <w:r>
        <w:rPr>
          <w:color w:val="0A0A0A"/>
          <w:sz w:val="22"/>
        </w:rPr>
        <w:t>14 Grey Street, Newcastle upon Tyne, NE1 6AE</w:t>
      </w:r>
    </w:p>
    <w:p>
      <w:pPr>
        <w:spacing w:after="60"/>
      </w:pPr>
      <w:r>
        <w:rPr>
          <w:b/>
          <w:sz w:val="22"/>
        </w:rPr>
        <w:t xml:space="preserve">Company number:  </w:t>
      </w:r>
      <w:r>
        <w:rPr>
          <w:color w:val="0A0A0A"/>
          <w:sz w:val="22"/>
        </w:rPr>
        <w:t>09876543</w:t>
      </w:r>
    </w:p>
    <w:p>
      <w:pPr>
        <w:spacing w:after="60"/>
      </w:pPr>
      <w:r>
        <w:rPr>
          <w:b/>
          <w:sz w:val="22"/>
        </w:rPr>
        <w:t xml:space="preserve">Email:  </w:t>
      </w:r>
      <w:r>
        <w:rPr>
          <w:color w:val="0A0A0A"/>
          <w:sz w:val="22"/>
        </w:rPr>
        <w:t>hello@watsonsandco.com</w:t>
      </w:r>
    </w:p>
    <w:p>
      <w:pPr>
        <w:spacing w:after="60"/>
      </w:pPr>
      <w:r>
        <w:rPr>
          <w:b/>
          <w:sz w:val="22"/>
        </w:rPr>
        <w:t xml:space="preserve">Telephone:  </w:t>
      </w:r>
      <w:r>
        <w:rPr>
          <w:color w:val="0A0A0A"/>
          <w:sz w:val="22"/>
        </w:rPr>
        <w:t>+44 (0) 191 946 0123</w:t>
      </w:r>
    </w:p>
    <w:p>
      <w:pPr>
        <w:spacing w:after="60"/>
      </w:pPr>
      <w:r>
        <w:rPr>
          <w:b/>
          <w:sz w:val="22"/>
        </w:rPr>
        <w:t xml:space="preserve">ICO registration:  </w:t>
      </w:r>
      <w:r>
        <w:rPr>
          <w:color w:val="0A0A0A"/>
          <w:sz w:val="22"/>
        </w:rPr>
        <w:t>ZA123456</w:t>
      </w:r>
    </w:p>
    <w:p>
      <w:pPr>
        <w:spacing w:before="360" w:after="80"/>
      </w:pPr>
      <w:r>
        <w:rPr>
          <w:rFonts w:ascii="Garamond" w:hAnsi="Garamond"/>
          <w:b/>
          <w:color w:val="0A0A0A"/>
          <w:sz w:val="30"/>
        </w:rPr>
        <w:t>3.  Personal Data We Collect</w:t>
      </w:r>
    </w:p>
    <w:p>
      <w:pPr>
        <w:spacing w:before="240" w:after="40"/>
      </w:pPr>
      <w:r>
        <w:rPr>
          <w:rFonts w:ascii="Calibri" w:hAnsi="Calibri"/>
          <w:b/>
          <w:color w:val="0A0A0A"/>
          <w:sz w:val="23"/>
        </w:rPr>
        <w:t>3.1  Information you provide to us</w:t>
      </w:r>
    </w:p>
    <w:p>
      <w:pPr>
        <w:pStyle w:val="ListBullet"/>
        <w:spacing w:after="60"/>
      </w:pPr>
      <w:r>
        <w:rPr>
          <w:color w:val="0A0A0A"/>
          <w:sz w:val="22"/>
        </w:rPr>
        <w:t>Full name, address, and contact details (telephone and email)</w:t>
      </w:r>
    </w:p>
    <w:p>
      <w:pPr>
        <w:pStyle w:val="ListBullet"/>
        <w:spacing w:after="60"/>
      </w:pPr>
      <w:r>
        <w:rPr>
          <w:color w:val="0A0A0A"/>
          <w:sz w:val="22"/>
        </w:rPr>
        <w:t>Financial information, including proof of funds and mortgage-in-principle documentation</w:t>
      </w:r>
    </w:p>
    <w:p>
      <w:pPr>
        <w:pStyle w:val="ListBullet"/>
        <w:spacing w:after="60"/>
      </w:pPr>
      <w:r>
        <w:rPr>
          <w:color w:val="0A0A0A"/>
          <w:sz w:val="22"/>
        </w:rPr>
        <w:t>Identity and address verification documents (passport, driving licence, utility bills) for Anti-Money Laundering compliance</w:t>
      </w:r>
    </w:p>
    <w:p>
      <w:pPr>
        <w:pStyle w:val="ListBullet"/>
        <w:spacing w:after="60"/>
      </w:pPr>
      <w:r>
        <w:rPr>
          <w:color w:val="0A0A0A"/>
          <w:sz w:val="22"/>
        </w:rPr>
        <w:t>Information about your property requirements and preferences</w:t>
      </w:r>
    </w:p>
    <w:p>
      <w:pPr>
        <w:pStyle w:val="ListBullet"/>
        <w:spacing w:after="60"/>
      </w:pPr>
      <w:r>
        <w:rPr>
          <w:color w:val="0A0A0A"/>
          <w:sz w:val="22"/>
        </w:rPr>
        <w:t>Details of properties you own or are seeking to purchase or let</w:t>
      </w:r>
    </w:p>
    <w:p>
      <w:pPr>
        <w:pStyle w:val="ListBullet"/>
        <w:spacing w:after="60"/>
      </w:pPr>
      <w:r>
        <w:rPr>
          <w:color w:val="0A0A0A"/>
          <w:sz w:val="22"/>
        </w:rPr>
        <w:t>Correspondence and communications with our team</w:t>
      </w:r>
    </w:p>
    <w:p>
      <w:pPr>
        <w:spacing w:before="240" w:after="40"/>
      </w:pPr>
      <w:r>
        <w:rPr>
          <w:rFonts w:ascii="Calibri" w:hAnsi="Calibri"/>
          <w:b/>
          <w:color w:val="0A0A0A"/>
          <w:sz w:val="23"/>
        </w:rPr>
        <w:t>3.2  Information we collect automatically</w:t>
      </w:r>
    </w:p>
    <w:p>
      <w:pPr>
        <w:pStyle w:val="ListBullet"/>
        <w:spacing w:after="60"/>
      </w:pPr>
      <w:r>
        <w:rPr>
          <w:color w:val="0A0A0A"/>
          <w:sz w:val="22"/>
        </w:rPr>
        <w:t>IP address and browser type when you visit our website</w:t>
      </w:r>
    </w:p>
    <w:p>
      <w:pPr>
        <w:pStyle w:val="ListBullet"/>
        <w:spacing w:after="60"/>
      </w:pPr>
      <w:r>
        <w:rPr>
          <w:color w:val="0A0A0A"/>
          <w:sz w:val="22"/>
        </w:rPr>
        <w:t>Pages visited, time spent, and referring URLs</w:t>
      </w:r>
    </w:p>
    <w:p>
      <w:pPr>
        <w:pStyle w:val="ListBullet"/>
        <w:spacing w:after="60"/>
      </w:pPr>
      <w:r>
        <w:rPr>
          <w:color w:val="0A0A0A"/>
          <w:sz w:val="22"/>
        </w:rPr>
        <w:t>Cookie data (see our Cookie Policy for full details)</w:t>
      </w:r>
    </w:p>
    <w:p>
      <w:pPr>
        <w:spacing w:before="360" w:after="80"/>
      </w:pPr>
      <w:r>
        <w:rPr>
          <w:rFonts w:ascii="Garamond" w:hAnsi="Garamond"/>
          <w:b/>
          <w:color w:val="0A0A0A"/>
          <w:sz w:val="30"/>
        </w:rPr>
        <w:t>4.  How We Use Your Personal Data</w:t>
      </w:r>
    </w:p>
    <w:p>
      <w:pPr>
        <w:spacing w:after="120" w:before="0"/>
      </w:pPr>
      <w:r>
        <w:rPr>
          <w:color w:val="0A0A0A"/>
          <w:sz w:val="22"/>
        </w:rPr>
        <w:t>We process your personal data for the following purposes and on the following legal bases under UK GDPR:</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sz w:val="20"/>
              </w:rPr>
              <w:t>Purpose</w:t>
            </w:r>
          </w:p>
        </w:tc>
        <w:tc>
          <w:tcPr>
            <w:tcW w:type="dxa" w:w="2946"/>
          </w:tcPr>
          <w:p>
            <w:r>
              <w:rPr>
                <w:b/>
                <w:sz w:val="20"/>
              </w:rPr>
              <w:t>Legal Basis</w:t>
            </w:r>
          </w:p>
        </w:tc>
        <w:tc>
          <w:tcPr>
            <w:tcW w:type="dxa" w:w="2946"/>
          </w:tcPr>
          <w:p>
            <w:r>
              <w:rPr>
                <w:b/>
                <w:sz w:val="20"/>
              </w:rPr>
              <w:t>Details</w:t>
            </w:r>
          </w:p>
        </w:tc>
      </w:tr>
      <w:tr>
        <w:tc>
          <w:tcPr>
            <w:tcW w:type="dxa" w:w="2946"/>
          </w:tcPr>
          <w:p>
            <w:r>
              <w:rPr>
                <w:sz w:val="20"/>
              </w:rPr>
              <w:t>Providing estate agency services</w:t>
            </w:r>
          </w:p>
        </w:tc>
        <w:tc>
          <w:tcPr>
            <w:tcW w:type="dxa" w:w="2946"/>
          </w:tcPr>
          <w:p>
            <w:r>
              <w:rPr>
                <w:sz w:val="20"/>
              </w:rPr>
              <w:t>Contract</w:t>
            </w:r>
          </w:p>
        </w:tc>
        <w:tc>
          <w:tcPr>
            <w:tcW w:type="dxa" w:w="2946"/>
          </w:tcPr>
          <w:p>
            <w:r>
              <w:rPr>
                <w:sz w:val="20"/>
              </w:rPr>
              <w:t>To carry out the purchase, sale, or letting of property on your behalf.</w:t>
            </w:r>
          </w:p>
        </w:tc>
      </w:tr>
      <w:tr>
        <w:tc>
          <w:tcPr>
            <w:tcW w:type="dxa" w:w="2946"/>
          </w:tcPr>
          <w:p>
            <w:r>
              <w:rPr>
                <w:sz w:val="20"/>
              </w:rPr>
              <w:t>Client onboarding and AML checks</w:t>
            </w:r>
          </w:p>
        </w:tc>
        <w:tc>
          <w:tcPr>
            <w:tcW w:type="dxa" w:w="2946"/>
          </w:tcPr>
          <w:p>
            <w:r>
              <w:rPr>
                <w:sz w:val="20"/>
              </w:rPr>
              <w:t>Legal obligation</w:t>
            </w:r>
          </w:p>
        </w:tc>
        <w:tc>
          <w:tcPr>
            <w:tcW w:type="dxa" w:w="2946"/>
          </w:tcPr>
          <w:p>
            <w:r>
              <w:rPr>
                <w:sz w:val="20"/>
              </w:rPr>
              <w:t>We are required by the Money Laundering Regulations 2017 to verify your identity.</w:t>
            </w:r>
          </w:p>
        </w:tc>
      </w:tr>
      <w:tr>
        <w:tc>
          <w:tcPr>
            <w:tcW w:type="dxa" w:w="2946"/>
          </w:tcPr>
          <w:p>
            <w:r>
              <w:rPr>
                <w:sz w:val="20"/>
              </w:rPr>
              <w:t>Marketing communications</w:t>
            </w:r>
          </w:p>
        </w:tc>
        <w:tc>
          <w:tcPr>
            <w:tcW w:type="dxa" w:w="2946"/>
          </w:tcPr>
          <w:p>
            <w:r>
              <w:rPr>
                <w:sz w:val="20"/>
              </w:rPr>
              <w:t>Consent / Legitimate interest</w:t>
            </w:r>
          </w:p>
        </w:tc>
        <w:tc>
          <w:tcPr>
            <w:tcW w:type="dxa" w:w="2946"/>
          </w:tcPr>
          <w:p>
            <w:r>
              <w:rPr>
                <w:sz w:val="20"/>
              </w:rPr>
              <w:t>To send you information about properties and services where you have consented or we have a legitimate interest.</w:t>
            </w:r>
          </w:p>
        </w:tc>
      </w:tr>
      <w:tr>
        <w:tc>
          <w:tcPr>
            <w:tcW w:type="dxa" w:w="2946"/>
          </w:tcPr>
          <w:p>
            <w:r>
              <w:rPr>
                <w:sz w:val="20"/>
              </w:rPr>
              <w:t>Website operation</w:t>
            </w:r>
          </w:p>
        </w:tc>
        <w:tc>
          <w:tcPr>
            <w:tcW w:type="dxa" w:w="2946"/>
          </w:tcPr>
          <w:p>
            <w:r>
              <w:rPr>
                <w:sz w:val="20"/>
              </w:rPr>
              <w:t>Legitimate interest</w:t>
            </w:r>
          </w:p>
        </w:tc>
        <w:tc>
          <w:tcPr>
            <w:tcW w:type="dxa" w:w="2946"/>
          </w:tcPr>
          <w:p>
            <w:r>
              <w:rPr>
                <w:sz w:val="20"/>
              </w:rPr>
              <w:t>To ensure our website functions correctly and to improve user experience.</w:t>
            </w:r>
          </w:p>
        </w:tc>
      </w:tr>
      <w:tr>
        <w:tc>
          <w:tcPr>
            <w:tcW w:type="dxa" w:w="2946"/>
          </w:tcPr>
          <w:p>
            <w:r>
              <w:rPr>
                <w:sz w:val="20"/>
              </w:rPr>
              <w:t>Legal compliance</w:t>
            </w:r>
          </w:p>
        </w:tc>
        <w:tc>
          <w:tcPr>
            <w:tcW w:type="dxa" w:w="2946"/>
          </w:tcPr>
          <w:p>
            <w:r>
              <w:rPr>
                <w:sz w:val="20"/>
              </w:rPr>
              <w:t>Legal obligation</w:t>
            </w:r>
          </w:p>
        </w:tc>
        <w:tc>
          <w:tcPr>
            <w:tcW w:type="dxa" w:w="2946"/>
          </w:tcPr>
          <w:p>
            <w:r>
              <w:rPr>
                <w:sz w:val="20"/>
              </w:rPr>
              <w:t>To comply with applicable laws and regulatory requirements.</w:t>
            </w:r>
          </w:p>
        </w:tc>
      </w:tr>
      <w:tr>
        <w:tc>
          <w:tcPr>
            <w:tcW w:type="dxa" w:w="2946"/>
          </w:tcPr>
          <w:p>
            <w:r>
              <w:rPr>
                <w:sz w:val="20"/>
              </w:rPr>
              <w:t>Dispute resolution</w:t>
            </w:r>
          </w:p>
        </w:tc>
        <w:tc>
          <w:tcPr>
            <w:tcW w:type="dxa" w:w="2946"/>
          </w:tcPr>
          <w:p>
            <w:r>
              <w:rPr>
                <w:sz w:val="20"/>
              </w:rPr>
              <w:t>Legitimate interest</w:t>
            </w:r>
          </w:p>
        </w:tc>
        <w:tc>
          <w:tcPr>
            <w:tcW w:type="dxa" w:w="2946"/>
          </w:tcPr>
          <w:p>
            <w:r>
              <w:rPr>
                <w:sz w:val="20"/>
              </w:rPr>
              <w:t>To investigate and resolve complaints or disputes.</w:t>
            </w:r>
          </w:p>
        </w:tc>
      </w:tr>
    </w:tbl>
    <w:p/>
    <w:p>
      <w:pPr>
        <w:spacing w:before="360" w:after="80"/>
      </w:pPr>
      <w:r>
        <w:rPr>
          <w:rFonts w:ascii="Garamond" w:hAnsi="Garamond"/>
          <w:b/>
          <w:color w:val="0A0A0A"/>
          <w:sz w:val="30"/>
        </w:rPr>
        <w:t>5.  Data Sharing</w:t>
      </w:r>
    </w:p>
    <w:p>
      <w:pPr>
        <w:spacing w:after="120" w:before="0"/>
      </w:pPr>
      <w:r>
        <w:rPr>
          <w:color w:val="0A0A0A"/>
          <w:sz w:val="22"/>
        </w:rPr>
        <w:t>We may share your personal data with the following categories of third parties:</w:t>
      </w:r>
    </w:p>
    <w:p>
      <w:pPr>
        <w:pStyle w:val="ListBullet"/>
        <w:spacing w:after="60"/>
      </w:pPr>
      <w:r>
        <w:rPr>
          <w:color w:val="0A0A0A"/>
          <w:sz w:val="22"/>
        </w:rPr>
        <w:t>Solicitors and conveyancers acting in the transaction</w:t>
      </w:r>
    </w:p>
    <w:p>
      <w:pPr>
        <w:pStyle w:val="ListBullet"/>
        <w:spacing w:after="60"/>
      </w:pPr>
      <w:r>
        <w:rPr>
          <w:color w:val="0A0A0A"/>
          <w:sz w:val="22"/>
        </w:rPr>
        <w:t>Mortgage brokers and financial advisers with your consent</w:t>
      </w:r>
    </w:p>
    <w:p>
      <w:pPr>
        <w:pStyle w:val="ListBullet"/>
        <w:spacing w:after="60"/>
      </w:pPr>
      <w:r>
        <w:rPr>
          <w:color w:val="0A0A0A"/>
          <w:sz w:val="22"/>
        </w:rPr>
        <w:t>Surveyors and valuers</w:t>
      </w:r>
    </w:p>
    <w:p>
      <w:pPr>
        <w:pStyle w:val="ListBullet"/>
        <w:spacing w:after="60"/>
      </w:pPr>
      <w:r>
        <w:rPr>
          <w:color w:val="0A0A0A"/>
          <w:sz w:val="22"/>
        </w:rPr>
        <w:t>HMRC in fulfilment of our Anti-Money Laundering obligations</w:t>
      </w:r>
    </w:p>
    <w:p>
      <w:pPr>
        <w:pStyle w:val="ListBullet"/>
        <w:spacing w:after="60"/>
      </w:pPr>
      <w:r>
        <w:rPr>
          <w:color w:val="0A0A0A"/>
          <w:sz w:val="22"/>
        </w:rPr>
        <w:t>The Property Ombudsman in connection with any formal complaint</w:t>
      </w:r>
    </w:p>
    <w:p>
      <w:pPr>
        <w:pStyle w:val="ListBullet"/>
        <w:spacing w:after="60"/>
      </w:pPr>
      <w:r>
        <w:rPr>
          <w:color w:val="0A0A0A"/>
          <w:sz w:val="22"/>
        </w:rPr>
        <w:t>IT service providers and website hosting companies under appropriate data processing agreements</w:t>
      </w:r>
    </w:p>
    <w:p>
      <w:pPr>
        <w:pStyle w:val="ListBullet"/>
        <w:spacing w:after="60"/>
      </w:pPr>
      <w:r>
        <w:rPr>
          <w:color w:val="0A0A0A"/>
          <w:sz w:val="22"/>
        </w:rPr>
        <w:t>Law enforcement or regulatory bodies where required by law</w:t>
      </w:r>
    </w:p>
    <w:p>
      <w:pPr>
        <w:spacing w:after="120" w:before="0"/>
      </w:pPr>
      <w:r>
        <w:rPr>
          <w:color w:val="0A0A0A"/>
          <w:sz w:val="22"/>
        </w:rPr>
        <w:t>We do not sell your personal data to third parties.</w:t>
      </w:r>
    </w:p>
    <w:p>
      <w:pPr>
        <w:spacing w:before="360" w:after="80"/>
      </w:pPr>
      <w:r>
        <w:rPr>
          <w:rFonts w:ascii="Garamond" w:hAnsi="Garamond"/>
          <w:b/>
          <w:color w:val="0A0A0A"/>
          <w:sz w:val="30"/>
        </w:rPr>
        <w:t>6.  Data Retention</w:t>
      </w:r>
    </w:p>
    <w:p>
      <w:pPr>
        <w:spacing w:after="120" w:before="0"/>
      </w:pPr>
      <w:r>
        <w:rPr>
          <w:color w:val="0A0A0A"/>
          <w:sz w:val="22"/>
        </w:rPr>
        <w:t>We retain personal data only for as long as necessary for the purposes set out in this policy, and in accordance with our legal obligations. Our standard retention periods are:</w:t>
      </w:r>
    </w:p>
    <w:p>
      <w:pPr>
        <w:pStyle w:val="ListBullet"/>
        <w:spacing w:after="60"/>
      </w:pPr>
      <w:r>
        <w:rPr>
          <w:color w:val="0A0A0A"/>
          <w:sz w:val="22"/>
        </w:rPr>
        <w:t>Client files and transaction records: 7 years from completion of the transaction</w:t>
      </w:r>
    </w:p>
    <w:p>
      <w:pPr>
        <w:pStyle w:val="ListBullet"/>
        <w:spacing w:after="60"/>
      </w:pPr>
      <w:r>
        <w:rPr>
          <w:color w:val="0A0A0A"/>
          <w:sz w:val="22"/>
        </w:rPr>
        <w:t>Anti-Money Laundering records: 5 years from the end of the business relationship</w:t>
      </w:r>
    </w:p>
    <w:p>
      <w:pPr>
        <w:pStyle w:val="ListBullet"/>
        <w:spacing w:after="60"/>
      </w:pPr>
      <w:r>
        <w:rPr>
          <w:color w:val="0A0A0A"/>
          <w:sz w:val="22"/>
        </w:rPr>
        <w:t>Marketing preferences: until you withdraw consent</w:t>
      </w:r>
    </w:p>
    <w:p>
      <w:pPr>
        <w:pStyle w:val="ListBullet"/>
        <w:spacing w:after="60"/>
      </w:pPr>
      <w:r>
        <w:rPr>
          <w:color w:val="0A0A0A"/>
          <w:sz w:val="22"/>
        </w:rPr>
        <w:t>Website analytics data: 26 months</w:t>
      </w:r>
    </w:p>
    <w:p>
      <w:pPr>
        <w:pStyle w:val="ListBullet"/>
        <w:spacing w:after="60"/>
      </w:pPr>
      <w:r>
        <w:rPr>
          <w:color w:val="0A0A0A"/>
          <w:sz w:val="22"/>
        </w:rPr>
        <w:t>Correspondence: 3 years from the date of last communication</w:t>
      </w:r>
    </w:p>
    <w:p>
      <w:pPr>
        <w:spacing w:before="360" w:after="80"/>
      </w:pPr>
      <w:r>
        <w:rPr>
          <w:rFonts w:ascii="Garamond" w:hAnsi="Garamond"/>
          <w:b/>
          <w:color w:val="0A0A0A"/>
          <w:sz w:val="30"/>
        </w:rPr>
        <w:t>7.  Your Rights</w:t>
      </w:r>
    </w:p>
    <w:p>
      <w:pPr>
        <w:spacing w:after="120" w:before="0"/>
      </w:pPr>
      <w:r>
        <w:rPr>
          <w:color w:val="0A0A0A"/>
          <w:sz w:val="22"/>
        </w:rPr>
        <w:t>Under UK GDPR, you have the following rights in relation to your personal data:</w:t>
      </w:r>
    </w:p>
    <w:p>
      <w:pPr>
        <w:spacing w:after="80"/>
      </w:pPr>
      <w:r>
        <w:rPr>
          <w:b/>
        </w:rPr>
        <w:t xml:space="preserve">Right of access: </w:t>
      </w:r>
      <w:r>
        <w:t>You may request a copy of the personal data we hold about you.</w:t>
      </w:r>
    </w:p>
    <w:p>
      <w:pPr>
        <w:spacing w:after="80"/>
      </w:pPr>
      <w:r>
        <w:rPr>
          <w:b/>
        </w:rPr>
        <w:t xml:space="preserve">Right to rectification: </w:t>
      </w:r>
      <w:r>
        <w:t>You may ask us to correct inaccurate or incomplete data.</w:t>
      </w:r>
    </w:p>
    <w:p>
      <w:pPr>
        <w:spacing w:after="80"/>
      </w:pPr>
      <w:r>
        <w:rPr>
          <w:b/>
        </w:rPr>
        <w:t xml:space="preserve">Right to erasure: </w:t>
      </w:r>
      <w:r>
        <w:t>You may ask us to delete your data where there is no compelling reason for its continued processing.</w:t>
      </w:r>
    </w:p>
    <w:p>
      <w:pPr>
        <w:spacing w:after="80"/>
      </w:pPr>
      <w:r>
        <w:rPr>
          <w:b/>
        </w:rPr>
        <w:t xml:space="preserve">Right to restrict processing: </w:t>
      </w:r>
      <w:r>
        <w:t>You may ask us to restrict how we use your data in certain circumstances.</w:t>
      </w:r>
    </w:p>
    <w:p>
      <w:pPr>
        <w:spacing w:after="80"/>
      </w:pPr>
      <w:r>
        <w:rPr>
          <w:b/>
        </w:rPr>
        <w:t xml:space="preserve">Right to data portability: </w:t>
      </w:r>
      <w:r>
        <w:t>You may ask us to provide your data in a machine-readable format.</w:t>
      </w:r>
    </w:p>
    <w:p>
      <w:pPr>
        <w:spacing w:after="80"/>
      </w:pPr>
      <w:r>
        <w:rPr>
          <w:b/>
        </w:rPr>
        <w:t xml:space="preserve">Right to object: </w:t>
      </w:r>
      <w:r>
        <w:t>You may object to processing based on legitimate interests or for direct marketing purposes.</w:t>
      </w:r>
    </w:p>
    <w:p>
      <w:pPr>
        <w:spacing w:after="80"/>
      </w:pPr>
      <w:r>
        <w:rPr>
          <w:b/>
        </w:rPr>
        <w:t xml:space="preserve">Right to withdraw consent: </w:t>
      </w:r>
      <w:r>
        <w:t>Where processing is based on consent, you may withdraw it at any time.</w:t>
      </w:r>
    </w:p>
    <w:p>
      <w:pPr>
        <w:spacing w:before="360" w:after="80"/>
      </w:pPr>
      <w:r>
        <w:rPr>
          <w:rFonts w:ascii="Garamond" w:hAnsi="Garamond"/>
          <w:b/>
          <w:color w:val="0A0A0A"/>
          <w:sz w:val="30"/>
        </w:rPr>
        <w:t>8.  International Transfers</w:t>
      </w:r>
    </w:p>
    <w:p>
      <w:pPr>
        <w:spacing w:after="120" w:before="0"/>
      </w:pPr>
      <w:r>
        <w:rPr>
          <w:color w:val="0A0A0A"/>
          <w:sz w:val="22"/>
        </w:rPr>
        <w:t>We do not routinely transfer personal data outside the UK. Where any transfer is necessary, we will ensure appropriate safeguards are in place in accordance with UK GDPR.</w:t>
      </w:r>
    </w:p>
    <w:p>
      <w:pPr>
        <w:spacing w:before="360" w:after="80"/>
      </w:pPr>
      <w:r>
        <w:rPr>
          <w:rFonts w:ascii="Garamond" w:hAnsi="Garamond"/>
          <w:b/>
          <w:color w:val="0A0A0A"/>
          <w:sz w:val="30"/>
        </w:rPr>
        <w:t>9.  Cookies</w:t>
      </w:r>
    </w:p>
    <w:p>
      <w:pPr>
        <w:spacing w:after="120" w:before="0"/>
      </w:pPr>
      <w:r>
        <w:rPr>
          <w:color w:val="0A0A0A"/>
          <w:sz w:val="22"/>
        </w:rPr>
        <w:t>Our website uses cookies. Please refer to our separate Cookie Policy available at www.watsonsandco.com/cookies for full details.</w:t>
      </w:r>
    </w:p>
    <w:p>
      <w:pPr>
        <w:spacing w:before="360" w:after="80"/>
      </w:pPr>
      <w:r>
        <w:rPr>
          <w:rFonts w:ascii="Garamond" w:hAnsi="Garamond"/>
          <w:b/>
          <w:color w:val="0A0A0A"/>
          <w:sz w:val="30"/>
        </w:rPr>
        <w:t>10.  How to Exercise Your Rights</w:t>
      </w:r>
    </w:p>
    <w:p>
      <w:pPr>
        <w:spacing w:after="120" w:before="0"/>
      </w:pPr>
      <w:r>
        <w:rPr>
          <w:color w:val="0A0A0A"/>
          <w:sz w:val="22"/>
        </w:rPr>
        <w:t>To exercise any of your rights, or if you have any questions about this Privacy Policy, please contact our Data Protection Lead:</w:t>
      </w:r>
    </w:p>
    <w:p>
      <w:pPr>
        <w:spacing w:after="60"/>
      </w:pPr>
      <w:r>
        <w:rPr>
          <w:b/>
          <w:sz w:val="22"/>
        </w:rPr>
        <w:t xml:space="preserve">Email:  </w:t>
      </w:r>
      <w:r>
        <w:rPr>
          <w:color w:val="0A0A0A"/>
          <w:sz w:val="22"/>
        </w:rPr>
        <w:t>hello@watsonsandco.com</w:t>
      </w:r>
    </w:p>
    <w:p>
      <w:pPr>
        <w:spacing w:after="60"/>
      </w:pPr>
      <w:r>
        <w:rPr>
          <w:b/>
          <w:sz w:val="22"/>
        </w:rPr>
        <w:t xml:space="preserve">Post:  </w:t>
      </w:r>
      <w:r>
        <w:rPr>
          <w:color w:val="0A0A0A"/>
          <w:sz w:val="22"/>
        </w:rPr>
        <w:t>Data Protection Lead, Watsons &amp; Co, 14 Grey Street, Newcastle upon Tyne, NE1 6AE</w:t>
      </w:r>
    </w:p>
    <w:p>
      <w:pPr>
        <w:spacing w:after="120" w:before="0"/>
      </w:pPr>
      <w:r>
        <w:rPr>
          <w:color w:val="0A0A0A"/>
          <w:sz w:val="22"/>
        </w:rPr>
        <w:t>We will respond to all legitimate requests within one calendar month. If your request is particularly complex, we may extend this period by a further two months and will notify you accordingly.</w:t>
      </w:r>
    </w:p>
    <w:p>
      <w:pPr>
        <w:spacing w:before="360" w:after="80"/>
      </w:pPr>
      <w:r>
        <w:rPr>
          <w:rFonts w:ascii="Garamond" w:hAnsi="Garamond"/>
          <w:b/>
          <w:color w:val="0A0A0A"/>
          <w:sz w:val="30"/>
        </w:rPr>
        <w:t>11.  Right to Complain</w:t>
      </w:r>
    </w:p>
    <w:p>
      <w:pPr>
        <w:spacing w:after="120" w:before="0"/>
      </w:pPr>
      <w:r>
        <w:rPr>
          <w:color w:val="0A0A0A"/>
          <w:sz w:val="22"/>
        </w:rPr>
        <w:t>If you are unhappy with how we have handled your personal data, you have the right to lodge a complaint with the Information Commissioner's Office (ICO):</w:t>
      </w:r>
    </w:p>
    <w:p>
      <w:pPr>
        <w:spacing w:after="60"/>
      </w:pPr>
      <w:r>
        <w:rPr>
          <w:b/>
          <w:sz w:val="22"/>
        </w:rPr>
        <w:t xml:space="preserve">Website:  </w:t>
      </w:r>
      <w:r>
        <w:rPr>
          <w:color w:val="0A0A0A"/>
          <w:sz w:val="22"/>
        </w:rPr>
        <w:t>www.ico.org.uk</w:t>
      </w:r>
    </w:p>
    <w:p>
      <w:pPr>
        <w:spacing w:after="60"/>
      </w:pPr>
      <w:r>
        <w:rPr>
          <w:b/>
          <w:sz w:val="22"/>
        </w:rPr>
        <w:t xml:space="preserve">Helpline:  </w:t>
      </w:r>
      <w:r>
        <w:rPr>
          <w:color w:val="0A0A0A"/>
          <w:sz w:val="22"/>
        </w:rPr>
        <w:t>0303 123 1113</w:t>
      </w:r>
    </w:p>
    <w:p>
      <w:pPr>
        <w:spacing w:after="60"/>
      </w:pPr>
      <w:r>
        <w:rPr>
          <w:b/>
          <w:sz w:val="22"/>
        </w:rPr>
        <w:t xml:space="preserve">Post:  </w:t>
      </w:r>
      <w:r>
        <w:rPr>
          <w:color w:val="0A0A0A"/>
          <w:sz w:val="22"/>
        </w:rPr>
        <w:t>Information Commissioner's Office, Wycliffe House, Water Lane, Wilmslow, SK9 5AF</w:t>
      </w:r>
    </w:p>
    <w:p>
      <w:pPr>
        <w:spacing w:before="360" w:after="80"/>
      </w:pPr>
      <w:r>
        <w:rPr>
          <w:rFonts w:ascii="Garamond" w:hAnsi="Garamond"/>
          <w:b/>
          <w:color w:val="0A0A0A"/>
          <w:sz w:val="30"/>
        </w:rPr>
        <w:t>12.  Changes to This Policy</w:t>
      </w:r>
    </w:p>
    <w:p>
      <w:pPr>
        <w:spacing w:after="120" w:before="0"/>
      </w:pPr>
      <w:r>
        <w:rPr>
          <w:color w:val="0A0A0A"/>
          <w:sz w:val="22"/>
        </w:rPr>
        <w:t>We may update this Privacy Policy from time to time. The current version will always be published on our website at www.watsonsandco.com. This policy was last updated on 15 May 2026.</w:t>
      </w:r>
    </w:p>
    <w:p/>
    <w:p>
      <w:pPr>
        <w:pBdr>
          <w:bottom w:val="single" w:sz="4" w:space="1" w:color="C4C0B8"/>
        </w:pBdr>
      </w:pPr>
    </w:p>
    <w:p/>
    <w:p>
      <w:pPr>
        <w:jc w:val="center"/>
      </w:pPr>
      <w:r>
        <w:rPr>
          <w:color w:val="888480"/>
          <w:sz w:val="17"/>
        </w:rPr>
        <w:t>Watsons &amp; Co · 14 Grey Street, Newcastle upon Tyne, NE1 6AE · +44 (0) 191 946 0123 · hello@watsonsandco.com</w:t>
        <w:br/>
        <w:t>Registered in England &amp; Wales · Company No. 09876543 · Authorised and regulated by The Property Ombudsman (Ref: O-123456)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