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aramond" w:hAnsi="Garamond"/>
          <w:b/>
          <w:color w:val="0A0A0A"/>
          <w:sz w:val="44"/>
        </w:rPr>
        <w:t>WATSONS &amp; CO</w:t>
      </w:r>
    </w:p>
    <w:p>
      <w:pPr>
        <w:jc w:val="center"/>
      </w:pPr>
      <w:r>
        <w:rPr>
          <w:color w:val="888480"/>
          <w:sz w:val="20"/>
        </w:rPr>
        <w:t>Estate Agents  ·  Newcastle upon Tyne</w:t>
      </w:r>
    </w:p>
    <w:p/>
    <w:p>
      <w:pPr>
        <w:pBdr>
          <w:bottom w:val="single" w:sz="4" w:space="1" w:color="C4C0B8"/>
        </w:pBdr>
      </w:pPr>
    </w:p>
    <w:p/>
    <w:p>
      <w:pPr>
        <w:jc w:val="center"/>
      </w:pPr>
      <w:r>
        <w:rPr>
          <w:rFonts w:ascii="Garamond" w:hAnsi="Garamond"/>
          <w:color w:val="0A0A0A"/>
          <w:sz w:val="36"/>
        </w:rPr>
        <w:t>Terms &amp; Conditions</w:t>
      </w:r>
    </w:p>
    <w:p/>
    <w:p>
      <w:pPr>
        <w:jc w:val="center"/>
      </w:pPr>
      <w:r>
        <w:rPr>
          <w:color w:val="888480"/>
          <w:sz w:val="18"/>
        </w:rPr>
        <w:t>Last updated: 15 May 2026</w:t>
      </w:r>
    </w:p>
    <w:p>
      <w:r>
        <w:br w:type="page"/>
      </w:r>
    </w:p>
    <w:p>
      <w:pPr>
        <w:spacing w:before="360" w:after="80"/>
      </w:pPr>
      <w:r>
        <w:rPr>
          <w:rFonts w:ascii="Garamond" w:hAnsi="Garamond"/>
          <w:b/>
          <w:color w:val="0A0A0A"/>
          <w:sz w:val="30"/>
        </w:rPr>
        <w:t>1.  Introduction</w:t>
      </w:r>
    </w:p>
    <w:p>
      <w:pPr>
        <w:spacing w:after="120" w:before="0"/>
      </w:pPr>
      <w:r>
        <w:rPr>
          <w:color w:val="0A0A0A"/>
          <w:sz w:val="22"/>
        </w:rPr>
        <w:t>These Terms and Conditions govern your use of the Watsons &amp; Co website at www.watsonsandco.com ('the Website') and the services provided by Watsons &amp; Co, a company registered in England and Wales (Company No. 09876543) whose registered office is at 14 Grey Street, Newcastle upon Tyne, NE1 6AE ('we', 'us', 'our').</w:t>
      </w:r>
    </w:p>
    <w:p>
      <w:pPr>
        <w:spacing w:after="120" w:before="0"/>
      </w:pPr>
      <w:r>
        <w:rPr>
          <w:color w:val="0A0A0A"/>
          <w:sz w:val="22"/>
        </w:rPr>
        <w:t>By accessing our Website or using our services, you agree to be bound by these Terms. Please read them carefully. If you do not agree, you must not use our Website or services.</w:t>
      </w:r>
    </w:p>
    <w:p>
      <w:pPr>
        <w:spacing w:before="360" w:after="80"/>
      </w:pPr>
      <w:r>
        <w:rPr>
          <w:rFonts w:ascii="Garamond" w:hAnsi="Garamond"/>
          <w:b/>
          <w:color w:val="0A0A0A"/>
          <w:sz w:val="30"/>
        </w:rPr>
        <w:t>2.  Our Services</w:t>
      </w:r>
    </w:p>
    <w:p>
      <w:pPr>
        <w:spacing w:after="120" w:before="0"/>
      </w:pPr>
      <w:r>
        <w:rPr>
          <w:color w:val="0A0A0A"/>
          <w:sz w:val="22"/>
        </w:rPr>
        <w:t>Watsons &amp; Co is a residential estate agency operating in Newcastle upon Tyne and Northumberland. We provide residential sales, lettings, property management, valuation, and investment advisory services. We are members of The Property Ombudsman (Ref: O-123456).</w:t>
      </w:r>
    </w:p>
    <w:p>
      <w:pPr>
        <w:spacing w:before="360" w:after="80"/>
      </w:pPr>
      <w:r>
        <w:rPr>
          <w:rFonts w:ascii="Garamond" w:hAnsi="Garamond"/>
          <w:b/>
          <w:color w:val="0A0A0A"/>
          <w:sz w:val="30"/>
        </w:rPr>
        <w:t>3.  Website Use</w:t>
      </w:r>
    </w:p>
    <w:p>
      <w:pPr>
        <w:spacing w:before="240" w:after="40"/>
      </w:pPr>
      <w:r>
        <w:rPr>
          <w:rFonts w:ascii="Calibri" w:hAnsi="Calibri"/>
          <w:b/>
          <w:color w:val="0A0A0A"/>
          <w:sz w:val="23"/>
        </w:rPr>
        <w:t>3.1  Permitted use</w:t>
      </w:r>
    </w:p>
    <w:p>
      <w:pPr>
        <w:spacing w:after="120" w:before="0"/>
      </w:pPr>
      <w:r>
        <w:rPr>
          <w:color w:val="0A0A0A"/>
          <w:sz w:val="22"/>
        </w:rPr>
        <w:t>You may use the Website for lawful purposes only. You must not use it in any way that breaches applicable law, infringes the rights of others, or transmits unsolicited commercial communications.</w:t>
      </w:r>
    </w:p>
    <w:p>
      <w:pPr>
        <w:spacing w:before="240" w:after="40"/>
      </w:pPr>
      <w:r>
        <w:rPr>
          <w:rFonts w:ascii="Calibri" w:hAnsi="Calibri"/>
          <w:b/>
          <w:color w:val="0A0A0A"/>
          <w:sz w:val="23"/>
        </w:rPr>
        <w:t>3.2  Accuracy of information</w:t>
      </w:r>
    </w:p>
    <w:p>
      <w:pPr>
        <w:spacing w:after="120" w:before="0"/>
      </w:pPr>
      <w:r>
        <w:rPr>
          <w:color w:val="0A0A0A"/>
          <w:sz w:val="22"/>
        </w:rPr>
        <w:t>While we endeavour to keep the information on the Website accurate and up to date, property details, prices, and availability are subject to change without notice. Property descriptions are provided in good faith and do not constitute a representation or warranty.</w:t>
      </w:r>
    </w:p>
    <w:p>
      <w:pPr>
        <w:spacing w:before="240" w:after="40"/>
      </w:pPr>
      <w:r>
        <w:rPr>
          <w:rFonts w:ascii="Calibri" w:hAnsi="Calibri"/>
          <w:b/>
          <w:color w:val="0A0A0A"/>
          <w:sz w:val="23"/>
        </w:rPr>
        <w:t>3.3  Intellectual property</w:t>
      </w:r>
    </w:p>
    <w:p>
      <w:pPr>
        <w:spacing w:after="120" w:before="0"/>
      </w:pPr>
      <w:r>
        <w:rPr>
          <w:color w:val="0A0A0A"/>
          <w:sz w:val="22"/>
        </w:rPr>
        <w:t>All content on the Website — including text, photography, graphics, and design — is owned by or licensed to Watsons &amp; Co and is protected by copyright and other intellectual property laws. You may not reproduce, distribute, or create derivative works without our prior written consent.</w:t>
      </w:r>
    </w:p>
    <w:p>
      <w:pPr>
        <w:spacing w:before="360" w:after="80"/>
      </w:pPr>
      <w:r>
        <w:rPr>
          <w:rFonts w:ascii="Garamond" w:hAnsi="Garamond"/>
          <w:b/>
          <w:color w:val="0A0A0A"/>
          <w:sz w:val="30"/>
        </w:rPr>
        <w:t>4.  Estate Agency Services — Terms of Engagement</w:t>
      </w:r>
    </w:p>
    <w:p>
      <w:pPr>
        <w:spacing w:before="240" w:after="40"/>
      </w:pPr>
      <w:r>
        <w:rPr>
          <w:rFonts w:ascii="Calibri" w:hAnsi="Calibri"/>
          <w:b/>
          <w:color w:val="0A0A0A"/>
          <w:sz w:val="23"/>
        </w:rPr>
        <w:t>4.1  Instruction to sell</w:t>
      </w:r>
    </w:p>
    <w:p>
      <w:pPr>
        <w:spacing w:after="120" w:before="0"/>
      </w:pPr>
      <w:r>
        <w:rPr>
          <w:color w:val="0A0A0A"/>
          <w:sz w:val="22"/>
        </w:rPr>
        <w:t>By instructing us to market your property for sale, you authorise us to act as your agent and to market the property on your behalf. Our fee, terms of sole agency or joint agency, and notice period will be set out in our Letter of Engagement. Fees become payable upon exchange of contracts (or as otherwise agreed in writing).</w:t>
      </w:r>
    </w:p>
    <w:p>
      <w:pPr>
        <w:spacing w:before="240" w:after="40"/>
      </w:pPr>
      <w:r>
        <w:rPr>
          <w:rFonts w:ascii="Calibri" w:hAnsi="Calibri"/>
          <w:b/>
          <w:color w:val="0A0A0A"/>
          <w:sz w:val="23"/>
        </w:rPr>
        <w:t>4.2  Instruction to let</w:t>
      </w:r>
    </w:p>
    <w:p>
      <w:pPr>
        <w:spacing w:after="120" w:before="0"/>
      </w:pPr>
      <w:r>
        <w:rPr>
          <w:color w:val="0A0A0A"/>
          <w:sz w:val="22"/>
        </w:rPr>
        <w:t>By instructing us to find a tenant for your property, you authorise us to act as your lettings agent. Our fees, services included, and terms will be set out in our Lettings Agreement. Please refer to our Fees Schedule for a full breakdown of charges.</w:t>
      </w:r>
    </w:p>
    <w:p>
      <w:pPr>
        <w:spacing w:before="240" w:after="40"/>
      </w:pPr>
      <w:r>
        <w:rPr>
          <w:rFonts w:ascii="Calibri" w:hAnsi="Calibri"/>
          <w:b/>
          <w:color w:val="0A0A0A"/>
          <w:sz w:val="23"/>
        </w:rPr>
        <w:t>4.3  Consumer Protection from Unfair Trading Regulations 2008</w:t>
      </w:r>
    </w:p>
    <w:p>
      <w:pPr>
        <w:spacing w:after="120" w:before="0"/>
      </w:pPr>
      <w:r>
        <w:rPr>
          <w:color w:val="0A0A0A"/>
          <w:sz w:val="22"/>
        </w:rPr>
        <w:t>We comply with the Consumer Protection from Unfair Trading Regulations 2008. All material information about a property will be disclosed accurately and in a timely manner.</w:t>
      </w:r>
    </w:p>
    <w:p>
      <w:pPr>
        <w:spacing w:before="240" w:after="40"/>
      </w:pPr>
      <w:r>
        <w:rPr>
          <w:rFonts w:ascii="Calibri" w:hAnsi="Calibri"/>
          <w:b/>
          <w:color w:val="0A0A0A"/>
          <w:sz w:val="23"/>
        </w:rPr>
        <w:t>4.4  Estate Agents Act 1979</w:t>
      </w:r>
    </w:p>
    <w:p>
      <w:pPr>
        <w:spacing w:after="120" w:before="0"/>
      </w:pPr>
      <w:r>
        <w:rPr>
          <w:color w:val="0A0A0A"/>
          <w:sz w:val="22"/>
        </w:rPr>
        <w:t>We operate in accordance with the Estate Agents Act 1979 and keep full records of all instructions, offers, and transactions. We will disclose any personal interest in a property.</w:t>
      </w:r>
    </w:p>
    <w:p>
      <w:pPr>
        <w:spacing w:before="360" w:after="80"/>
      </w:pPr>
      <w:r>
        <w:rPr>
          <w:rFonts w:ascii="Garamond" w:hAnsi="Garamond"/>
          <w:b/>
          <w:color w:val="0A0A0A"/>
          <w:sz w:val="30"/>
        </w:rPr>
        <w:t>5.  Anti-Money Laundering</w:t>
      </w:r>
    </w:p>
    <w:p>
      <w:pPr>
        <w:spacing w:after="120" w:before="0"/>
      </w:pPr>
      <w:r>
        <w:rPr>
          <w:color w:val="0A0A0A"/>
          <w:sz w:val="22"/>
        </w:rPr>
        <w:t>Watsons &amp; Co is registered with HMRC for Anti-Money Laundering supervision (Ref: XMWAT00000123456). We are required by law to verify the identity of all vendors, purchasers, landlords, and tenants before proceeding with a transaction. We may request identification documents and, in some cases, proof of funds. We may be required to report suspicious activity to the National Crime Agency without informing the subject of any such report.</w:t>
      </w:r>
    </w:p>
    <w:p>
      <w:pPr>
        <w:spacing w:before="360" w:after="80"/>
      </w:pPr>
      <w:r>
        <w:rPr>
          <w:rFonts w:ascii="Garamond" w:hAnsi="Garamond"/>
          <w:b/>
          <w:color w:val="0A0A0A"/>
          <w:sz w:val="30"/>
        </w:rPr>
        <w:t>6.  Client Money</w:t>
      </w:r>
    </w:p>
    <w:p>
      <w:pPr>
        <w:spacing w:after="120" w:before="0"/>
      </w:pPr>
      <w:r>
        <w:rPr>
          <w:color w:val="0A0A0A"/>
          <w:sz w:val="22"/>
        </w:rPr>
        <w:t>Where we hold client money in connection with lettings and management services, we are members of the Propertymark Client Money Protection scheme. Our client money is held in a separate, designated client account and is not mixed with our own funds.</w:t>
      </w:r>
    </w:p>
    <w:p>
      <w:pPr>
        <w:spacing w:before="360" w:after="80"/>
      </w:pPr>
      <w:r>
        <w:rPr>
          <w:rFonts w:ascii="Garamond" w:hAnsi="Garamond"/>
          <w:b/>
          <w:color w:val="0A0A0A"/>
          <w:sz w:val="30"/>
        </w:rPr>
        <w:t>7.  Limitation of Liability</w:t>
      </w:r>
    </w:p>
    <w:p>
      <w:pPr>
        <w:spacing w:after="120" w:before="0"/>
      </w:pPr>
      <w:r>
        <w:rPr>
          <w:color w:val="0A0A0A"/>
          <w:sz w:val="22"/>
        </w:rPr>
        <w:t>To the fullest extent permitted by law, we exclude all liability for loss or damage — whether direct, indirect, or consequential — arising from your use of the Website or our services, except where such liability cannot be excluded by law. Nothing in these Terms excludes or limits our liability for death or personal injury caused by negligence, fraud, or fraudulent misrepresentation.</w:t>
      </w:r>
    </w:p>
    <w:p>
      <w:pPr>
        <w:spacing w:before="360" w:after="80"/>
      </w:pPr>
      <w:r>
        <w:rPr>
          <w:rFonts w:ascii="Garamond" w:hAnsi="Garamond"/>
          <w:b/>
          <w:color w:val="0A0A0A"/>
          <w:sz w:val="30"/>
        </w:rPr>
        <w:t>8.  Third-Party Links</w:t>
      </w:r>
    </w:p>
    <w:p>
      <w:pPr>
        <w:spacing w:after="120" w:before="0"/>
      </w:pPr>
      <w:r>
        <w:rPr>
          <w:color w:val="0A0A0A"/>
          <w:sz w:val="22"/>
        </w:rPr>
        <w:t>Our Website may contain links to third-party websites. We have no control over the content of those sites and accept no responsibility for them or for any loss or damage arising from your use of them.</w:t>
      </w:r>
    </w:p>
    <w:p>
      <w:pPr>
        <w:spacing w:before="360" w:after="80"/>
      </w:pPr>
      <w:r>
        <w:rPr>
          <w:rFonts w:ascii="Garamond" w:hAnsi="Garamond"/>
          <w:b/>
          <w:color w:val="0A0A0A"/>
          <w:sz w:val="30"/>
        </w:rPr>
        <w:t>9.  Complaints</w:t>
      </w:r>
    </w:p>
    <w:p>
      <w:pPr>
        <w:spacing w:after="120" w:before="0"/>
      </w:pPr>
      <w:r>
        <w:rPr>
          <w:color w:val="0A0A0A"/>
          <w:sz w:val="22"/>
        </w:rPr>
        <w:t>If you are unhappy with any aspect of our service, please refer to our Complaints Procedure available at www.watsonsandco.com/complaints or contact us at hello@watsonsandco.com.</w:t>
      </w:r>
    </w:p>
    <w:p>
      <w:pPr>
        <w:spacing w:before="360" w:after="80"/>
      </w:pPr>
      <w:r>
        <w:rPr>
          <w:rFonts w:ascii="Garamond" w:hAnsi="Garamond"/>
          <w:b/>
          <w:color w:val="0A0A0A"/>
          <w:sz w:val="30"/>
        </w:rPr>
        <w:t>10.  Governing Law</w:t>
      </w:r>
    </w:p>
    <w:p>
      <w:pPr>
        <w:spacing w:after="120" w:before="0"/>
      </w:pPr>
      <w:r>
        <w:rPr>
          <w:color w:val="0A0A0A"/>
          <w:sz w:val="22"/>
        </w:rPr>
        <w:t>These Terms are governed by and construed in accordance with the law of England and Wales. Any disputes arising under these Terms shall be subject to the exclusive jurisdiction of the courts of England and Wales.</w:t>
      </w:r>
    </w:p>
    <w:p>
      <w:pPr>
        <w:spacing w:before="360" w:after="80"/>
      </w:pPr>
      <w:r>
        <w:rPr>
          <w:rFonts w:ascii="Garamond" w:hAnsi="Garamond"/>
          <w:b/>
          <w:color w:val="0A0A0A"/>
          <w:sz w:val="30"/>
        </w:rPr>
        <w:t>11.  Changes to These Terms</w:t>
      </w:r>
    </w:p>
    <w:p>
      <w:pPr>
        <w:spacing w:after="120" w:before="0"/>
      </w:pPr>
      <w:r>
        <w:rPr>
          <w:color w:val="0A0A0A"/>
          <w:sz w:val="22"/>
        </w:rPr>
        <w:t>We may amend these Terms at any time by posting updated Terms on the Website. Continued use of the Website following any changes constitutes acceptance of the new Terms. These Terms were last updated on 15 May 2026.</w:t>
      </w:r>
    </w:p>
    <w:p>
      <w:pPr>
        <w:spacing w:before="360" w:after="80"/>
      </w:pPr>
      <w:r>
        <w:rPr>
          <w:rFonts w:ascii="Garamond" w:hAnsi="Garamond"/>
          <w:b/>
          <w:color w:val="0A0A0A"/>
          <w:sz w:val="30"/>
        </w:rPr>
        <w:t>12.  Contact Us</w:t>
      </w:r>
    </w:p>
    <w:p>
      <w:pPr>
        <w:spacing w:after="60"/>
      </w:pPr>
      <w:r>
        <w:rPr>
          <w:b/>
          <w:sz w:val="22"/>
        </w:rPr>
        <w:t xml:space="preserve">Address:  </w:t>
      </w:r>
      <w:r>
        <w:rPr>
          <w:color w:val="0A0A0A"/>
          <w:sz w:val="22"/>
        </w:rPr>
        <w:t>14 Grey Street, Newcastle upon Tyne, NE1 6AE</w:t>
      </w:r>
    </w:p>
    <w:p>
      <w:pPr>
        <w:spacing w:after="60"/>
      </w:pPr>
      <w:r>
        <w:rPr>
          <w:b/>
          <w:sz w:val="22"/>
        </w:rPr>
        <w:t xml:space="preserve">Telephone:  </w:t>
      </w:r>
      <w:r>
        <w:rPr>
          <w:color w:val="0A0A0A"/>
          <w:sz w:val="22"/>
        </w:rPr>
        <w:t>+44 (0) 191 946 0123</w:t>
      </w:r>
    </w:p>
    <w:p>
      <w:pPr>
        <w:spacing w:after="60"/>
      </w:pPr>
      <w:r>
        <w:rPr>
          <w:b/>
          <w:sz w:val="22"/>
        </w:rPr>
        <w:t xml:space="preserve">Email:  </w:t>
      </w:r>
      <w:r>
        <w:rPr>
          <w:color w:val="0A0A0A"/>
          <w:sz w:val="22"/>
        </w:rPr>
        <w:t>hello@watsonsandco.com</w:t>
      </w:r>
    </w:p>
    <w:p>
      <w:pPr>
        <w:spacing w:after="60"/>
      </w:pPr>
      <w:r>
        <w:rPr>
          <w:b/>
          <w:sz w:val="22"/>
        </w:rPr>
        <w:t xml:space="preserve">Company No.:  </w:t>
      </w:r>
      <w:r>
        <w:rPr>
          <w:color w:val="0A0A0A"/>
          <w:sz w:val="22"/>
        </w:rPr>
        <w:t>09876543</w:t>
      </w:r>
    </w:p>
    <w:p/>
    <w:p>
      <w:pPr>
        <w:pBdr>
          <w:bottom w:val="single" w:sz="4" w:space="1" w:color="C4C0B8"/>
        </w:pBdr>
      </w:pPr>
    </w:p>
    <w:p/>
    <w:p>
      <w:pPr>
        <w:jc w:val="center"/>
      </w:pPr>
      <w:r>
        <w:rPr>
          <w:color w:val="888480"/>
          <w:sz w:val="17"/>
        </w:rPr>
        <w:t>Watsons &amp; Co · 14 Grey Street, Newcastle upon Tyne, NE1 6AE · +44 (0) 191 946 0123 · hello@watsonsandco.com</w:t>
        <w:br/>
        <w:t>Registered in England &amp; Wales · Company No. 09876543 · Authorised and regulated by The Property Ombudsman (Ref: O-123456)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