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Historical Atlas of Chile, 1810–1990</w:t>
      </w:r>
    </w:p>
    <w:p>
      <w:pPr>
        <w:spacing w:after="200"/>
        <w:jc w:val="center"/>
      </w:pPr>
      <w:r>
        <w:rPr>
          <w:rFonts w:ascii="Arial" w:cs="Arial" w:eastAsia="Arial" w:hAnsi="Arial"/>
          <w:color w:val="2E5090"/>
          <w:sz w:val="32"/>
          <w:szCs w:val="32"/>
        </w:rPr>
        <w:t xml:space="preserve">Data and Methodology Documentation</w:t>
      </w:r>
    </w:p>
    <w:p>
      <w:pPr>
        <w:spacing w:after="40"/>
        <w:jc w:val="center"/>
      </w:pPr>
      <w:r>
        <w:rPr>
          <w:rFonts w:ascii="Arial" w:cs="Arial" w:eastAsia="Arial" w:hAnsi="Arial"/>
          <w:color w:val="666666"/>
          <w:sz w:val="22"/>
          <w:szCs w:val="22"/>
        </w:rPr>
        <w:t xml:space="preserve">Version 1.0 — May 2026</w:t>
      </w:r>
    </w:p>
    <w:p>
      <w:pPr>
        <w:spacing w:after="40"/>
        <w:jc w:val="center"/>
      </w:pPr>
      <w:r>
        <w:rPr>
          <w:rFonts w:ascii="Arial" w:cs="Arial" w:eastAsia="Arial" w:hAnsi="Arial"/>
          <w:color w:val="666666"/>
          <w:sz w:val="22"/>
          <w:szCs w:val="22"/>
        </w:rPr>
        <w:t xml:space="preserve">Maximiliano Véjares</w:t>
      </w:r>
    </w:p>
    <w:p>
      <w:pPr>
        <w:spacing w:after="400"/>
        <w:jc w:val="center"/>
      </w:pPr>
      <w:r>
        <w:rPr>
          <w:rFonts w:ascii="Arial" w:cs="Arial" w:eastAsia="Arial" w:hAnsi="Arial"/>
          <w:color w:val="666666"/>
          <w:sz w:val="22"/>
          <w:szCs w:val="22"/>
        </w:rPr>
        <w:t xml:space="preserve">Johns Hopkins University</w:t>
      </w:r>
    </w:p>
    <w:p>
      <w:pPr>
        <w:pStyle w:val="Heading1"/>
        <w:spacing w:after="120" w:before="240"/>
      </w:pPr>
      <w:r>
        <w:rPr>
          <w:b/>
          <w:bCs/>
        </w:rPr>
        <w:t xml:space="preserve">1. Introduction</w:t>
      </w:r>
    </w:p>
    <w:p>
      <w:pPr>
        <w:spacing w:after="120"/>
      </w:pPr>
      <w:r>
        <w:t xml:space="preserve">The Historical Atlas of Chile is a public data platform providing subnational historical statistics for Chile from independence (1810) through 1990. It offers a curated, downloadable dataset of economic, demographic, fiscal, electoral, educational, and infrastructure indicators at the department, province, and national level, together with an interactive web-based visualization platform featuring choropleth maps and time-series charts. The project is modeled on </w:t>
      </w:r>
      <w:r>
        <w:rPr>
          <w:i/>
          <w:iCs/>
        </w:rPr>
        <w:t xml:space="preserve">Our World in Data</w:t>
      </w:r>
      <w:r>
        <w:t xml:space="preserve">, the World Bank’s </w:t>
      </w:r>
      <w:r>
        <w:rPr>
          <w:i/>
          <w:iCs/>
        </w:rPr>
        <w:t xml:space="preserve">World Development Indicators</w:t>
      </w:r>
      <w:r>
        <w:t xml:space="preserve">, and the </w:t>
      </w:r>
      <w:r>
        <w:rPr>
          <w:i/>
          <w:iCs/>
        </w:rPr>
        <w:t xml:space="preserve">Financial Times</w:t>
      </w:r>
      <w:r>
        <w:t xml:space="preserve"> data pages, but focused on a single country’s long-run subnational history.</w:t>
      </w:r>
    </w:p>
    <w:p>
      <w:pPr>
        <w:spacing w:after="120"/>
      </w:pPr>
      <w:r>
        <w:t xml:space="preserve">The database draws on the published statistical record of the Chilean state—censuses, anuarios estadísticos, memorias ministeriales, sinopsis estadísticas—as well as compiled academic sources (Mamalakis 1980; Aldana 1914; Humud 1969; Molina 1898; Díaz, Lüders, and Wagner 2016). Version 1.0 contains 95,466 observations across 164 source documents, covering 138 thematic indicator families. The primary focus of Phase 1 extraction is the 19th century (1810–1900), where the sources are richest and least accessible to researchers; 20th-century data from compiled sources (DLW, Mamalakis) is included where available.</w:t>
      </w:r>
    </w:p>
    <w:p>
      <w:pPr>
        <w:spacing w:after="120"/>
      </w:pPr>
      <w:r>
        <w:t xml:space="preserve">This document describes the source corpus, the extraction and audit pipeline, the geographic schema, the quality-assurance framework, and the known limitations of version 1.0. A companion codebook provides variable-by-variable definitions, coverage statements, and source citations.</w:t>
      </w:r>
    </w:p>
    <w:p>
      <w:r>
        <w:br w:type="page"/>
      </w:r>
    </w:p>
    <w:p>
      <w:pPr>
        <w:pStyle w:val="Heading1"/>
        <w:spacing w:after="120" w:before="240"/>
      </w:pPr>
      <w:r>
        <w:rPr>
          <w:b/>
          <w:bCs/>
        </w:rPr>
        <w:t xml:space="preserve">2. Source Corpus</w:t>
      </w:r>
    </w:p>
    <w:p>
      <w:pPr>
        <w:spacing w:after="120"/>
      </w:pPr>
      <w:r>
        <w:t xml:space="preserve">The database draws on five classes of primary and compiled sources. Each class has distinct characteristics that shape the extraction pipeline.</w:t>
      </w:r>
    </w:p>
    <w:p>
      <w:pPr>
        <w:pStyle w:val="Heading2"/>
        <w:spacing w:after="120" w:before="240"/>
      </w:pPr>
      <w:r>
        <w:rPr>
          <w:b/>
          <w:bCs/>
        </w:rPr>
        <w:t xml:space="preserve">2.1. Censuses</w:t>
      </w:r>
    </w:p>
    <w:p>
      <w:pPr>
        <w:spacing w:after="120"/>
      </w:pPr>
      <w:r>
        <w:t xml:space="preserve">Chile conducted national censuses in 1813, 1835, 1843, 1854, 1865, 1875, 1885, 1895, 1907, 1920, 1930, 1940, 1952, 1960, 1970, 1982, and 1992. The database extracts department-level and province-level tabulations from the published census volumes. The 1875, 1885, 1895, and 1907 censuses are the most thoroughly extracted, providing population by sex, occupation, literacy, civil status, nationality, and religion at the department level. Pre-1875 censuses (1813, 1854, 1865) are partially extracted; the 1865 census required OCR from image-only scans. Post-1920 census data enters primarily through compiled sources (Mamalakis 1980, DLW 2016). Source PDFs are drawn from Memoria Chilena (memoriachilena.gob.cl) and HathiTrust.</w:t>
      </w:r>
    </w:p>
    <w:p>
      <w:pPr>
        <w:pStyle w:val="Heading2"/>
        <w:spacing w:after="120" w:before="240"/>
      </w:pPr>
      <w:r>
        <w:rPr>
          <w:b/>
          <w:bCs/>
        </w:rPr>
        <w:t xml:space="preserve">2.2. Anuarios Estadísticos</w:t>
      </w:r>
    </w:p>
    <w:p>
      <w:pPr>
        <w:spacing w:after="120"/>
      </w:pPr>
      <w:r>
        <w:t xml:space="preserve">The Oficina Central de Estadística published statistical yearbooks (Anuarios Estadísticos) from the 1860s onward. The database draws on the 1860–1872 compendium (a 2012 INE reissue with clean Unicode text), the 1871, 1875, 1909, 1917, and 1935 Anuarios. These provide the richest subnational data: vital statistics, school enrollment, municipal finance, postal and telegraph operations, hospital statistics, electoral rolls, crime, and agricultural production, typically at the department or province level. The Anuarios are the single largest source class in the database.</w:t>
      </w:r>
    </w:p>
    <w:p>
      <w:pPr>
        <w:pStyle w:val="Heading2"/>
        <w:spacing w:after="120" w:before="240"/>
      </w:pPr>
      <w:r>
        <w:rPr>
          <w:b/>
          <w:bCs/>
        </w:rPr>
        <w:t xml:space="preserve">2.3. Memorias Ministeriales</w:t>
      </w:r>
    </w:p>
    <w:p>
      <w:pPr>
        <w:spacing w:after="120"/>
      </w:pPr>
      <w:r>
        <w:t xml:space="preserve">Annual reports (Memorias) from the Ministerio del Interior (1840–1895), Ministerio de Hacienda (1856–1890), Ministerio de Justicia (1853–1890), and Ministerio de Guerra (1890) contain statistical annexes with department-level data on municipal finance, postal service, vaccination campaigns, hospital operations, telegraph infrastructure, customs receipts, and military manpower. Twenty-seven Memoria del Interior volumes have been assessed; thirteen contain extractable subnational tables. The Memorias de Hacienda provide fiscal data (customs by port, debt, monetary circulation) not found elsewhere.</w:t>
      </w:r>
    </w:p>
    <w:p>
      <w:pPr>
        <w:pStyle w:val="Heading2"/>
        <w:spacing w:after="120" w:before="240"/>
      </w:pPr>
      <w:r>
        <w:rPr>
          <w:b/>
          <w:bCs/>
        </w:rPr>
        <w:t xml:space="preserve">2.4. Sinopsis Estadísticas</w:t>
      </w:r>
    </w:p>
    <w:p>
      <w:pPr>
        <w:spacing w:after="120"/>
      </w:pPr>
      <w:r>
        <w:t xml:space="preserve">Statistical digests published at irregular intervals, including the Sinopsis Estadística of 1900 and the Sinopsis Estadística of 1924–27. These carry national-level retrospective time series (fiscal, monetary, trade, demographic) alongside cross-sectional province-level tables (foreign-born population, hospitals, telegraph offices, religion). The 1924–27 Sinopsis is particularly valuable for its 19th-century retrospective fiscal and demographic series.</w:t>
      </w:r>
    </w:p>
    <w:p>
      <w:pPr>
        <w:pStyle w:val="Heading2"/>
        <w:spacing w:after="120" w:before="240"/>
      </w:pPr>
      <w:r>
        <w:rPr>
          <w:b/>
          <w:bCs/>
        </w:rPr>
        <w:t xml:space="preserve">2.5. Compiled Academic Sources</w:t>
      </w:r>
    </w:p>
    <w:p>
      <w:pPr>
        <w:spacing w:after="120"/>
      </w:pPr>
      <w:r>
        <w:t xml:space="preserve">Several academic compilations provide long-run national time series: Díaz, Lüders, and Wagner (2016) supply GDP, trade, fiscal, monetary, labor force, and demographic series from 1810 to 2000; Mamalakis (1980) provides regional population distribution, migration, and economic activity panels; Aldana (1914) compiles fiscal detail for 1833–1914; Humud (1969) covers trade and fiscal policy 1830–1930; and Molina (1898) provides a treasury overview for 1830–1897. National macroeconomic aggregates from Braun et al. (1998) are excluded from this download as they are available separately online.</w:t>
      </w:r>
    </w:p>
    <w:p>
      <w:pPr>
        <w:spacing w:after="120"/>
      </w:pPr>
      <w:r>
        <w:t xml:space="preserve">In total, version 1.0 draws on 164 distinct source documents comprising over 400 individually identified source tables.</w:t>
      </w:r>
    </w:p>
    <w:p>
      <w:r>
        <w:br w:type="page"/>
      </w:r>
    </w:p>
    <w:p>
      <w:pPr>
        <w:pStyle w:val="Heading1"/>
        <w:spacing w:after="120" w:before="240"/>
      </w:pPr>
      <w:r>
        <w:rPr>
          <w:b/>
          <w:bCs/>
        </w:rPr>
        <w:t xml:space="preserve">3. Geographic Schema</w:t>
      </w:r>
    </w:p>
    <w:p>
      <w:pPr>
        <w:pStyle w:val="Heading2"/>
        <w:spacing w:after="120" w:before="240"/>
      </w:pPr>
      <w:r>
        <w:rPr>
          <w:b/>
          <w:bCs/>
        </w:rPr>
        <w:t xml:space="preserve">3.1. Administrative Levels</w:t>
      </w:r>
    </w:p>
    <w:p>
      <w:pPr>
        <w:spacing w:after="120"/>
      </w:pPr>
      <w:r>
        <w:t xml:space="preserve">The database records data at five canonical geographic levels: </w:t>
      </w:r>
      <w:r>
        <w:rPr>
          <w:b/>
          <w:bCs/>
        </w:rPr>
        <w:t xml:space="preserve">department</w:t>
      </w:r>
      <w:r>
        <w:t xml:space="preserve"> (the primary subnational unit of Chilean administration, roughly equivalent to a county), </w:t>
      </w:r>
      <w:r>
        <w:rPr>
          <w:b/>
          <w:bCs/>
        </w:rPr>
        <w:t xml:space="preserve">province</w:t>
      </w:r>
      <w:r>
        <w:t xml:space="preserve"> (groupings of departments, roughly equivalent to a state), </w:t>
      </w:r>
      <w:r>
        <w:rPr>
          <w:b/>
          <w:bCs/>
        </w:rPr>
        <w:t xml:space="preserve">national</w:t>
      </w:r>
      <w:r>
        <w:t xml:space="preserve"> (Chile as a whole), </w:t>
      </w:r>
      <w:r>
        <w:rPr>
          <w:b/>
          <w:bCs/>
        </w:rPr>
        <w:t xml:space="preserve">city</w:t>
      </w:r>
      <w:r>
        <w:t xml:space="preserve"> (individual establishments such as hospitals, schools, or telegraph offices identified by city name), and </w:t>
      </w:r>
      <w:r>
        <w:rPr>
          <w:b/>
          <w:bCs/>
        </w:rPr>
        <w:t xml:space="preserve">macro_region</w:t>
      </w:r>
      <w:r>
        <w:t xml:space="preserve"> (Norte Grande, Norte Chico, Central, Sur, aggregations used in some compiled sources).</w:t>
      </w:r>
    </w:p>
    <w:p>
      <w:pPr>
        <w:pStyle w:val="Heading2"/>
        <w:spacing w:after="120" w:before="240"/>
      </w:pPr>
      <w:r>
        <w:rPr>
          <w:b/>
          <w:bCs/>
        </w:rPr>
        <w:t xml:space="preserve">3.2. The 52-Department Panel</w:t>
      </w:r>
    </w:p>
    <w:p>
      <w:pPr>
        <w:spacing w:after="120"/>
      </w:pPr>
      <w:r>
        <w:t xml:space="preserve">Chile’s department boundaries shifted throughout the 19th and 20th centuries as new territories were incorporated (War of the Pacific, 1879–1884), frontier zones organized (Araucanía, Magallanes), and existing units subdivided. To enable longitudinal analysis, the database defines a 52-department panel frame anchored to the circa-1875 administrative map. Each panel department has a canonical lowercase key (its </w:t>
      </w:r>
      <w:r>
        <w:rPr>
          <w:i/>
          <w:iCs/>
        </w:rPr>
        <w:t xml:space="preserve">dcode</w:t>
      </w:r>
      <w:r>
        <w:t xml:space="preserve">), from Copiapó in the north to Castro in the south. A resolver maps variant spellings, accent differences, and historical aliases to these 52 keys.</w:t>
      </w:r>
    </w:p>
    <w:p>
      <w:pPr>
        <w:spacing w:after="120"/>
      </w:pPr>
      <w:r>
        <w:t xml:space="preserve">Crucially, the database stores all departments at their native level—not just the 52-panel. Non-panel departments (post–War of the Pacific territories like Tarapacá and Antofagasta, frontier expansions like Cautín, and post-1875 subdivisions) are stored with their own geographic_unit values and are never aggregated to parent panel departments. The 52-panel is a linking key for longitudinal work; the full dataset includes every administrative unit present in the sources.</w:t>
      </w:r>
    </w:p>
    <w:p>
      <w:pPr>
        <w:pStyle w:val="Heading2"/>
        <w:spacing w:after="120" w:before="240"/>
      </w:pPr>
      <w:r>
        <w:rPr>
          <w:b/>
          <w:bCs/>
        </w:rPr>
        <w:t xml:space="preserve">3.3. The 26-Province Panel</w:t>
      </w:r>
    </w:p>
    <w:p>
      <w:pPr>
        <w:spacing w:after="120"/>
      </w:pPr>
      <w:r>
        <w:t xml:space="preserve">An analogous 26-province panel (</w:t>
      </w:r>
      <w:r>
        <w:rPr>
          <w:i/>
          <w:iCs/>
        </w:rPr>
        <w:t xml:space="preserve">pcode</w:t>
      </w:r>
      <w:r>
        <w:t xml:space="preserve">) covers Atacama through Chiloé plus Tacna (administered by Chile 1880–1929). Province-level data follows the same principle: all provinces are stored at their native level, with the 26-panel providing the longitudinal linking key.</w:t>
      </w:r>
    </w:p>
    <w:p>
      <w:pPr>
        <w:pStyle w:val="Heading2"/>
        <w:spacing w:after="120" w:before="240"/>
      </w:pPr>
      <w:r>
        <w:rPr>
          <w:b/>
          <w:bCs/>
        </w:rPr>
        <w:t xml:space="preserve">3.4. GeoJSON Boundary Files</w:t>
      </w:r>
    </w:p>
    <w:p>
      <w:pPr>
        <w:spacing w:after="120"/>
      </w:pPr>
      <w:r>
        <w:t xml:space="preserve">The platform includes GeoJSON boundary files for each census year from 1813 to 1920, enabling choropleth maps that reflect the administrative boundaries in force at each date. Pre-1854 boundaries are constructed from GADM Level 3 comuna polygons; later boundaries use official shapefiles. Territory contours for unorganized frontier areas (Araucanía, southern territories) are included with translucent styling. The Chilean border in the north ends at the northernmost organized province for pre–1883 maps, reflecting the historical reality that the Atacama Desert territories were Bolivian and Peruvian sovereign territory until the War of the Pacific.</w:t>
      </w:r>
    </w:p>
    <w:p>
      <w:r>
        <w:br w:type="page"/>
      </w:r>
    </w:p>
    <w:p>
      <w:pPr>
        <w:pStyle w:val="Heading1"/>
        <w:spacing w:after="120" w:before="240"/>
      </w:pPr>
      <w:r>
        <w:rPr>
          <w:b/>
          <w:bCs/>
        </w:rPr>
        <w:t xml:space="preserve">4. Extraction Pipeline</w:t>
      </w:r>
    </w:p>
    <w:p>
      <w:pPr>
        <w:pStyle w:val="Heading2"/>
        <w:spacing w:after="120" w:before="240"/>
      </w:pPr>
      <w:r>
        <w:rPr>
          <w:b/>
          <w:bCs/>
        </w:rPr>
        <w:t xml:space="preserve">4.1. Source Assessment and Text-Layer Triage</w:t>
      </w:r>
    </w:p>
    <w:p>
      <w:pPr>
        <w:spacing w:after="120"/>
      </w:pPr>
      <w:r>
        <w:t xml:space="preserve">Each source PDF is assessed for text-layer quality before extraction. Sources fall into three categories: clean text (&gt;90% text coverage, directly parseable via PyMuPDF’s text extraction), Tesseract-only (&lt;30% text coverage, requiring optical character recognition), and garbled text (high text-layer coverage but unreadable content, requiring re-rendering and OCR). Clean-text sources (the Anuarios, Sinopsis, and post-1875 censuses) are extracted by coordinate-based parsing of the embedded text layer. Image-only sources (the 1865 census, parts of the 1895 census) require rendering at 3× resolution via PyMuPDF and OCR via Tesseract 5.5 with Spanish and Old Spanish language packs.</w:t>
      </w:r>
    </w:p>
    <w:p>
      <w:pPr>
        <w:pStyle w:val="Heading2"/>
        <w:spacing w:after="120" w:before="240"/>
      </w:pPr>
      <w:r>
        <w:rPr>
          <w:b/>
          <w:bCs/>
        </w:rPr>
        <w:t xml:space="preserve">4.2. Extraction to Staging</w:t>
      </w:r>
    </w:p>
    <w:p>
      <w:pPr>
        <w:spacing w:after="120"/>
      </w:pPr>
      <w:r>
        <w:t xml:space="preserve">Every extraction produces a long-format CSV matching the canonical 13-column schema: year, geographic_unit, geographic_level, dcode, pcode, variable, value, source_document, source_page, source_table, source_sheet, notes, and quality_flag. Extraction scripts use a shared pipeline module that enforces column ordering, handles Spanish thousands/decimal conventions (period as thousands separator, comma as decimal), and strips OCR noise from numeric fields. All extraction output lands first in a staging file (long_master.csv) before promotion to the canonical master.</w:t>
      </w:r>
    </w:p>
    <w:p>
      <w:pPr>
        <w:pStyle w:val="Heading2"/>
        <w:spacing w:after="120" w:before="240"/>
      </w:pPr>
      <w:r>
        <w:rPr>
          <w:b/>
          <w:bCs/>
        </w:rPr>
        <w:t xml:space="preserve">4.3. Scope Doctrines</w:t>
      </w:r>
    </w:p>
    <w:p>
      <w:pPr>
        <w:spacing w:after="120"/>
      </w:pPr>
      <w:r>
        <w:t xml:space="preserve">Two scope doctrines constrain what is extracted. </w:t>
      </w:r>
      <w:r>
        <w:rPr>
          <w:b/>
          <w:bCs/>
        </w:rPr>
        <w:t xml:space="preserve">Scope B</w:t>
      </w:r>
      <w:r>
        <w:t xml:space="preserve"> governs foreigner data: foreigners by department, by nationality, and by sex (marginals only) are in scope; all within-foreigner cross-tabulations (nationality × department × sex, foreigner × occupation) are excluded. </w:t>
      </w:r>
      <w:r>
        <w:rPr>
          <w:b/>
          <w:bCs/>
        </w:rPr>
        <w:t xml:space="preserve">Scope C</w:t>
      </w:r>
      <w:r>
        <w:t xml:space="preserve"> governs cross-tabulations generally: where a source presents marginal totals (Table A: totals by category 1; Table B: totals by category 2) and a joint distribution (Table C: category 1 × category 2), only the marginals are extracted. Sex disaggregation is explicitly not a cross-tabulation—it is the primary indexing axis on 19th-century Chilean statistical tables and is always extracted.</w:t>
      </w:r>
    </w:p>
    <w:p>
      <w:r>
        <w:br w:type="page"/>
      </w:r>
    </w:p>
    <w:p>
      <w:pPr>
        <w:pStyle w:val="Heading1"/>
        <w:spacing w:after="120" w:before="240"/>
      </w:pPr>
      <w:r>
        <w:rPr>
          <w:b/>
          <w:bCs/>
        </w:rPr>
        <w:t xml:space="preserve">5. Quality Assurance Framework</w:t>
      </w:r>
    </w:p>
    <w:p>
      <w:pPr>
        <w:pStyle w:val="Heading2"/>
        <w:spacing w:after="120" w:before="240"/>
      </w:pPr>
      <w:r>
        <w:rPr>
          <w:b/>
          <w:bCs/>
        </w:rPr>
        <w:t xml:space="preserve">5.1. Quality Flags</w:t>
      </w:r>
    </w:p>
    <w:p>
      <w:pPr>
        <w:spacing w:after="120"/>
      </w:pPr>
      <w:r>
        <w:t xml:space="preserve">Every observation carries a quality_flag from a strict seven-value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6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observed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measurement from the source; value present and audit-verified.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observed_zero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 is zero AND the indicator family confirms that zeros represent real absence (not missing data).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not_collected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covers this (year, unit, variable) combination but the cell is blank or printed as a dash. An informative null.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estimated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explicitly flags the value as an estimate (e.g., intercensal projections).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reconstructed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 derived from interpolation or back-projection in a compiled source (primarily DLW).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needs_review</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Automated rules cannot determine the correct flag; pending manual audit.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failed_extraction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source covers this cell but extraction failed (OCR unreadable, column misalignment).</w:t>
            </w:r>
          </w:p>
        </w:tc>
      </w:tr>
    </w:tbl>
    <w:p>
      <w:pPr>
        <w:spacing w:after="120"/>
      </w:pPr>
    </w:p>
    <w:p>
      <w:pPr>
        <w:spacing w:after="120"/>
      </w:pPr>
      <w:r>
        <w:t xml:space="preserve">In the downloadable dataset, 82.4% of observations are flagged </w:t>
      </w:r>
      <w:r>
        <w:rPr>
          <w:i/>
          <w:iCs/>
        </w:rPr>
        <w:t xml:space="preserve">observed</w:t>
      </w:r>
      <w:r>
        <w:t xml:space="preserve">, 1.7% </w:t>
      </w:r>
      <w:r>
        <w:rPr>
          <w:i/>
          <w:iCs/>
        </w:rPr>
        <w:t xml:space="preserve">observed_zero</w:t>
      </w:r>
      <w:r>
        <w:t xml:space="preserve">, 1.2% </w:t>
      </w:r>
      <w:r>
        <w:rPr>
          <w:i/>
          <w:iCs/>
        </w:rPr>
        <w:t xml:space="preserve">not_collected</w:t>
      </w:r>
      <w:r>
        <w:t xml:space="preserve">, and 0.1% </w:t>
      </w:r>
      <w:r>
        <w:rPr>
          <w:i/>
          <w:iCs/>
        </w:rPr>
        <w:t xml:space="preserve">estimated</w:t>
      </w:r>
      <w:r>
        <w:t xml:space="preserve">. The remaining 11.2% are flagged </w:t>
      </w:r>
      <w:r>
        <w:rPr>
          <w:i/>
          <w:iCs/>
        </w:rPr>
        <w:t xml:space="preserve">needs_review</w:t>
      </w:r>
      <w:r>
        <w:t xml:space="preserve"> (awaiting manual audit) and 3.4% </w:t>
      </w:r>
      <w:r>
        <w:rPr>
          <w:i/>
          <w:iCs/>
        </w:rPr>
        <w:t xml:space="preserve">failed_extraction</w:t>
      </w:r>
      <w:r>
        <w:t xml:space="preserve">. Users requiring only verified data should filter on quality_flag ∈ {observed, observed_zero, not_collected, estimated, reconstructed}.</w:t>
      </w:r>
    </w:p>
    <w:p>
      <w:pPr>
        <w:pStyle w:val="Heading2"/>
        <w:spacing w:after="120" w:before="240"/>
      </w:pPr>
      <w:r>
        <w:rPr>
          <w:b/>
          <w:bCs/>
        </w:rPr>
        <w:t xml:space="preserve">5.2. Tiered Audit Protocol</w:t>
      </w:r>
    </w:p>
    <w:p>
      <w:pPr>
        <w:spacing w:after="120"/>
      </w:pPr>
      <w:r>
        <w:t xml:space="preserve">Each extraction passes through a four-tier audit protocol before promotion to the canonical dataset:</w:t>
      </w:r>
    </w:p>
    <w:p>
      <w:pPr>
        <w:spacing w:after="120"/>
      </w:pPr>
      <w:r>
        <w:rPr>
          <w:b/>
          <w:bCs/>
        </w:rPr>
        <w:t xml:space="preserve">Tier 1 — Structural checks. </w:t>
      </w:r>
      <w:r>
        <w:t xml:space="preserve">Column count, schema compliance, no empty required fields, year range plausible for source, geographic_unit strings resolve against the department and province mapping.</w:t>
      </w:r>
    </w:p>
    <w:p>
      <w:pPr>
        <w:spacing w:after="120"/>
      </w:pPr>
      <w:r>
        <w:rPr>
          <w:b/>
          <w:bCs/>
        </w:rPr>
        <w:t xml:space="preserve">Tier 2 — Arithmetic identity. </w:t>
      </w:r>
      <w:r>
        <w:t xml:space="preserve">Per-row consistency checks: subtotals sum to totals, sex disaggregation (hombres + mujeres ≈ total), geographic roll-ups (department sum ≈ province, province sum ≈ national). Failures are routed to needs_review.</w:t>
      </w:r>
    </w:p>
    <w:p>
      <w:pPr>
        <w:spacing w:after="120"/>
      </w:pPr>
      <w:r>
        <w:rPr>
          <w:b/>
          <w:bCs/>
        </w:rPr>
        <w:t xml:space="preserve">Tier 3 — Sample visual spot-check. </w:t>
      </w:r>
      <w:r>
        <w:t xml:space="preserve">Five to ten randomly selected cells are rendered at 6× zoom against the source PDF. Any mismatch escalates to Tier 4. Standard for clean-text sources with passing Tier 2.</w:t>
      </w:r>
    </w:p>
    <w:p>
      <w:pPr>
        <w:spacing w:after="120"/>
      </w:pPr>
      <w:r>
        <w:rPr>
          <w:b/>
          <w:bCs/>
        </w:rPr>
        <w:t xml:space="preserve">Tier 4 — Full visual transcription. </w:t>
      </w:r>
      <w:r>
        <w:t xml:space="preserve">Per-cell verification against the rendered source page at 6–20× zoom. Required for OCR-only sources, garbled text sources, and any extraction where Tier 3 reveals mismatches. Applied to approximately 15% of extracted rows.</w:t>
      </w:r>
    </w:p>
    <w:p>
      <w:pPr>
        <w:pStyle w:val="Heading2"/>
        <w:spacing w:after="120" w:before="240"/>
      </w:pPr>
      <w:r>
        <w:rPr>
          <w:b/>
          <w:bCs/>
        </w:rPr>
        <w:t xml:space="preserve">5.3. Anomaly Detection</w:t>
      </w:r>
    </w:p>
    <w:p>
      <w:pPr>
        <w:spacing w:after="120"/>
      </w:pPr>
      <w:r>
        <w:t xml:space="preserve">An automated anomaly detector runs six checks on the promoted dataset: (A) year-over-year delta exceeding family-specific thresholds, (B) unit-level outliers (department value exceeding 5× the year median), (C) coverage cliffs (year-over-year drops in unit count exceeding 30%), (D) cross-variable consistency (urban + rural ≈ total, department sum ≈ national), (E) suspicious zero clusters, and (F) format anomalies (negative values for non-negative families, out-of-bounds values). The most recent anomaly scan flagged 4,784 observations for review; these are documented in per-family health reports.</w:t>
      </w:r>
    </w:p>
    <w:p>
      <w:pPr>
        <w:pStyle w:val="Heading2"/>
        <w:spacing w:after="120" w:before="240"/>
      </w:pPr>
      <w:r>
        <w:rPr>
          <w:b/>
          <w:bCs/>
        </w:rPr>
        <w:t xml:space="preserve">5.4. Source Priority Hierarchy</w:t>
      </w:r>
    </w:p>
    <w:p>
      <w:pPr>
        <w:spacing w:after="120"/>
      </w:pPr>
      <w:r>
        <w:t xml:space="preserve">Where multiple sources report the same (year, geographic_unit, variable) cell, the canonical value is selected by the hierarchy: Census &gt; Anuario Estadístico &gt; Memoria Ministerial &gt; Sinopsis Estadística &gt; compiled academic source. Non-canonical readings are retained in a triangulation register for cross-checking but do not appear in the published dataset.</w:t>
      </w:r>
    </w:p>
    <w:p>
      <w:r>
        <w:br w:type="page"/>
      </w:r>
    </w:p>
    <w:p>
      <w:pPr>
        <w:pStyle w:val="Heading1"/>
        <w:spacing w:after="120" w:before="240"/>
      </w:pPr>
      <w:r>
        <w:rPr>
          <w:b/>
          <w:bCs/>
        </w:rPr>
        <w:t xml:space="preserve">6. Indicator Families</w:t>
      </w:r>
    </w:p>
    <w:p>
      <w:pPr>
        <w:spacing w:after="120"/>
      </w:pPr>
      <w:r>
        <w:t xml:space="preserve">Variables in the database are organized into 138 thematic indicator families. Each family groups related measurements (e.g., all census occupation counts, all municipal finance variables, all hospital statistics) and carries metadata including display name, unit of measurement, geographic levels, and whether zeros represent real absence. The families span ten broad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Families</w:t>
            </w:r>
          </w:p>
        </w:tc>
        <w:tc>
          <w:tcPr>
            <w:tcW w:type="dxa" w:w="20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Variables</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Observations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Population &amp; demographics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Occupations &amp; labor force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Fiscal &amp; public finance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&amp; customs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Education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&amp; hospitals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Electoral &amp; political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Agriculture &amp; land</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Vital statistics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~5,500</w:t>
            </w:r>
          </w:p>
        </w:tc>
      </w:tr>
    </w:tbl>
    <w:p>
      <w:pPr>
        <w:spacing w:after="120"/>
      </w:pPr>
    </w:p>
    <w:p>
      <w:pPr>
        <w:spacing w:after="120"/>
      </w:pPr>
      <w:r>
        <w:t xml:space="preserve">The companion codebook provides a complete variable-by-variable listing with definitions, coverage, and sources.</w:t>
      </w:r>
    </w:p>
    <w:p>
      <w:r>
        <w:br w:type="page"/>
      </w:r>
    </w:p>
    <w:p>
      <w:pPr>
        <w:pStyle w:val="Heading1"/>
        <w:spacing w:after="120" w:before="240"/>
      </w:pPr>
      <w:r>
        <w:rPr>
          <w:b/>
          <w:bCs/>
        </w:rPr>
        <w:t xml:space="preserve">7. Data Format and Schema</w:t>
      </w:r>
    </w:p>
    <w:p>
      <w:pPr>
        <w:spacing w:after="120"/>
      </w:pPr>
      <w:r>
        <w:t xml:space="preserve">The downloadable dataset is a single CSV file in long (tidy) format with 13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Year of observation (integer).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geographic_unit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Name of the geographic unit (e.g., “Copiapó”, “Atacama”, “Chile”).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geographic_level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 of: department, province, national, city, macro_region.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Canonical 52-panel department key (lowercase), or empty for non-department rows.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pcode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Canonical 26-panel province key (lowercase), or empty for non-province rows.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Variable identifier (snake_case). See the codebook for definitions.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value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Numeric value of the observation.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source_document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Bibliographic citation of the 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source_page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Page number(s) in the source document.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source_table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Identifier of the specific table within the source.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source_sheet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Excel sheet name (for spreadsheet sources), or empty.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notes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Structured metadata prefixes and free-form 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quality_flag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One of the seven quality flags (see Section 5.1).</w:t>
            </w:r>
          </w:p>
        </w:tc>
      </w:tr>
    </w:tbl>
    <w:p>
      <w:r>
        <w:br w:type="page"/>
      </w:r>
    </w:p>
    <w:p>
      <w:pPr>
        <w:pStyle w:val="Heading1"/>
        <w:spacing w:after="120" w:before="240"/>
      </w:pPr>
      <w:r>
        <w:rPr>
          <w:b/>
          <w:bCs/>
        </w:rPr>
        <w:t xml:space="preserve">8. Known Limitations</w:t>
      </w:r>
    </w:p>
    <w:p>
      <w:pPr>
        <w:spacing w:after="120"/>
      </w:pPr>
      <w:r>
        <w:rPr>
          <w:b/>
          <w:bCs/>
        </w:rPr>
        <w:t xml:space="preserve">Incomplete 19th-century coverage. </w:t>
      </w:r>
      <w:r>
        <w:t xml:space="preserve">Version 1.0 extracts approximately 40–60% of the in-scope 19th-century statistical record. Major un-extracted sources include the Memorias de Hacienda (1865–1890), Memorias de Justicia (1853–1890), the full 1895 census, the 1854 census, and agricultural statistics from the 1871 and 1875 Anuarios. A detailed extraction backlog is maintained in the project’s internal documentation.</w:t>
      </w:r>
    </w:p>
    <w:p>
      <w:pPr>
        <w:spacing w:after="120"/>
      </w:pPr>
      <w:r>
        <w:rPr>
          <w:b/>
          <w:bCs/>
        </w:rPr>
        <w:t xml:space="preserve">OCR-dependent sources. </w:t>
      </w:r>
      <w:r>
        <w:t xml:space="preserve">Approximately 15% of observations are extracted via optical character recognition from scanned 19th-century documents. Despite the four-tier audit protocol, some OCR errors may survive. All OCR-extracted cells are documented with their source_table and source_page for verification against the original PDFs, which are publicly available via Memoria Chilena and HathiTrust.</w:t>
      </w:r>
    </w:p>
    <w:p>
      <w:pPr>
        <w:spacing w:after="120"/>
      </w:pPr>
      <w:r>
        <w:rPr>
          <w:b/>
          <w:bCs/>
        </w:rPr>
        <w:t xml:space="preserve">Boundary changes. </w:t>
      </w:r>
      <w:r>
        <w:t xml:space="preserve">Chile’s department boundaries changed significantly over the 19th and 20th centuries. The 52-panel frame provides longitudinal consistency for most of the national territory, but some observations—particularly from frontier zones and post–War of the Pacific territories—do not map to panel departments. Users working with time series should filter on non-null dcode values.</w:t>
      </w:r>
    </w:p>
    <w:p>
      <w:pPr>
        <w:spacing w:after="120"/>
      </w:pPr>
      <w:r>
        <w:rPr>
          <w:b/>
          <w:bCs/>
        </w:rPr>
        <w:t xml:space="preserve">Unit heterogeneity in fiscal variables. </w:t>
      </w:r>
      <w:r>
        <w:t xml:space="preserve">Fiscal variables span Chile’s monetary history, including the colonial peso, the decimal peso (1851), the paper peso (1878), the peso de 6 peniques (1895), and the escudo (1960). Where unit breaks are documented in the notes column, they are tagged with [unit_break=...] prefixes. Users should exercise caution when constructing long-run fiscal time series and should consult the source citations for unit definitions.</w:t>
      </w:r>
    </w:p>
    <w:p>
      <w:pPr>
        <w:spacing w:after="120"/>
      </w:pPr>
      <w:r>
        <w:rPr>
          <w:b/>
          <w:bCs/>
        </w:rPr>
        <w:t xml:space="preserve">needs_review observations. </w:t>
      </w:r>
      <w:r>
        <w:t xml:space="preserve">11.2% of observations carry a needs_review quality flag, indicating that automated quality rules could not determine the correct assessment. These observations are included in the download for completeness but should be used with caution. A manual audit of these cells is planned for a future release.</w:t>
      </w:r>
    </w:p>
    <w:p>
      <w:pPr>
        <w:spacing w:after="120"/>
      </w:pPr>
      <w:r>
        <w:rPr>
          <w:b/>
          <w:bCs/>
        </w:rPr>
        <w:t xml:space="preserve">National macroeconomic aggregates. </w:t>
      </w:r>
      <w:r>
        <w:t xml:space="preserve">Long-run national macroeconomic series from Braun et al. (1998) are excluded from this download. They are available separately from the PUC Economics Department working paper series (DT 187). National series from Díaz, Lüders, and Wagner (2016) are included.</w:t>
      </w:r>
    </w:p>
    <w:p>
      <w:r>
        <w:br w:type="page"/>
      </w:r>
    </w:p>
    <w:p>
      <w:pPr>
        <w:pStyle w:val="Heading1"/>
        <w:spacing w:after="120" w:before="240"/>
      </w:pPr>
      <w:r>
        <w:rPr>
          <w:b/>
          <w:bCs/>
        </w:rPr>
        <w:t xml:space="preserve">9. Citation</w:t>
      </w:r>
    </w:p>
    <w:p>
      <w:pPr>
        <w:spacing w:after="120"/>
      </w:pPr>
      <w:r>
        <w:t xml:space="preserve">If you use this dataset, please cite it as:</w:t>
      </w:r>
    </w:p>
    <w:p>
      <w:pPr>
        <w:spacing w:after="120"/>
        <w:ind w:left="720"/>
      </w:pPr>
      <w:r>
        <w:t xml:space="preserve">Véjares, Maximiliano. 2026. </w:t>
      </w:r>
      <w:r>
        <w:rPr>
          <w:i/>
          <w:iCs/>
        </w:rPr>
        <w:t xml:space="preserve">Historical Atlas of Chile, 1810–1990: Database and Methodology, Version 1.0.</w:t>
      </w:r>
      <w:r>
        <w:t xml:space="preserve"> Johns Hopkins University.</w:t>
      </w:r>
    </w:p>
    <w:p>
      <w:pPr>
        <w:spacing w:after="120"/>
      </w:pPr>
      <w:r>
        <w:t xml:space="preserve">For individual indicators, please also cite the original source as listed in the source_document column and in the codebook.</w:t>
      </w:r>
    </w:p>
    <w:p>
      <w:pPr>
        <w:pStyle w:val="Heading1"/>
        <w:spacing w:after="120" w:before="240"/>
      </w:pPr>
      <w:r>
        <w:rPr>
          <w:b/>
          <w:bCs/>
        </w:rPr>
        <w:t xml:space="preserve">10. References</w:t>
      </w:r>
    </w:p>
    <w:p>
      <w:pPr>
        <w:spacing w:after="120"/>
      </w:pPr>
      <w:r>
        <w:t xml:space="preserve">Aldana, Abelardo. 1914. </w:t>
      </w:r>
      <w:r>
        <w:rPr>
          <w:i/>
          <w:iCs/>
        </w:rPr>
        <w:t xml:space="preserve">Resumen de la Hacienda Pública de Chile desde 1833 hasta 1914.</w:t>
      </w:r>
      <w:r>
        <w:t xml:space="preserve"> Santiago: Imprenta Cervantes.</w:t>
      </w:r>
    </w:p>
    <w:p>
      <w:pPr>
        <w:spacing w:after="120"/>
      </w:pPr>
      <w:r>
        <w:t xml:space="preserve">Braun, Juan, Matias Braun, Ignacio Briones, José Díaz, Rolf Lüders, and Gert Wagner. 1998. “Estadisticas Históricas de Chile 1810–1995.” PUC Economics Department Working Paper DT 187.</w:t>
      </w:r>
    </w:p>
    <w:p>
      <w:pPr>
        <w:spacing w:after="120"/>
      </w:pPr>
      <w:r>
        <w:t xml:space="preserve">Díaz, José, Rolf Lüders, and Gert Wagner. 2016. </w:t>
      </w:r>
      <w:r>
        <w:rPr>
          <w:i/>
          <w:iCs/>
        </w:rPr>
        <w:t xml:space="preserve">Chile 1810–2010: La República en Cifras.</w:t>
      </w:r>
      <w:r>
        <w:t xml:space="preserve"> Santiago: Ediciones UC.</w:t>
      </w:r>
    </w:p>
    <w:p>
      <w:pPr>
        <w:spacing w:after="120"/>
      </w:pPr>
      <w:r>
        <w:t xml:space="preserve">Humud, Carlos. 1969. </w:t>
      </w:r>
      <w:r>
        <w:rPr>
          <w:i/>
          <w:iCs/>
        </w:rPr>
        <w:t xml:space="preserve">Política Económica Chilena desde 1830 a 1930.</w:t>
      </w:r>
      <w:r>
        <w:t xml:space="preserve"> Santiago: Universidad de Chile.</w:t>
      </w:r>
    </w:p>
    <w:p>
      <w:pPr>
        <w:spacing w:after="120"/>
      </w:pPr>
      <w:r>
        <w:t xml:space="preserve">Mamalakis, Markos. 1980. </w:t>
      </w:r>
      <w:r>
        <w:rPr>
          <w:i/>
          <w:iCs/>
        </w:rPr>
        <w:t xml:space="preserve">Historical Statistics of Chile, Volume 2: Demography and Labor Force.</w:t>
      </w:r>
      <w:r>
        <w:t xml:space="preserve"> Westport, CT: Greenwood Press.</w:t>
      </w:r>
    </w:p>
    <w:p>
      <w:pPr>
        <w:spacing w:after="120"/>
      </w:pPr>
      <w:r>
        <w:t xml:space="preserve">Molina, Evaristo. 1898. </w:t>
      </w:r>
      <w:r>
        <w:rPr>
          <w:i/>
          <w:iCs/>
        </w:rPr>
        <w:t xml:space="preserve">Bosquejo de la Hacienda Pública de Chile desde la Independencia hasta la Fecha.</w:t>
      </w:r>
      <w:r>
        <w:t xml:space="preserve"> Santiago: Imprenta Nacional.</w:t>
      </w:r>
    </w:p>
    <w:p>
      <w:pPr>
        <w:spacing w:after="120"/>
      </w:pPr>
      <w:r>
        <w:t xml:space="preserve">Oficina Central de Estadística. Various years. </w:t>
      </w:r>
      <w:r>
        <w:rPr>
          <w:i/>
          <w:iCs/>
        </w:rPr>
        <w:t xml:space="preserve">Anuario Estadístico de la República de Chile.</w:t>
      </w:r>
      <w:r>
        <w:t xml:space="preserve"> Santiago.</w:t>
      </w:r>
    </w:p>
    <w:p>
      <w:pPr>
        <w:spacing w:after="120"/>
      </w:pPr>
      <w:r>
        <w:t xml:space="preserve">Oficina Central de Estadística. Various years. </w:t>
      </w:r>
      <w:r>
        <w:rPr>
          <w:i/>
          <w:iCs/>
        </w:rPr>
        <w:t xml:space="preserve">Sinopsis Estadística y Jeográfica de Chile.</w:t>
      </w:r>
      <w:r>
        <w:t xml:space="preserve"> Santiago.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Historical Atlas of Chile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2026-05-19T00:05:09.221Z</dcterms:created>
  <dcterms:modified xsi:type="dcterms:W3CDTF">2026-05-19T00:05:09.222Z</dcterms:modified>
</cp:coreProperties>
</file>

<file path=docProps/custom.xml><?xml version="1.0" encoding="utf-8"?>
<Properties xmlns="http://schemas.openxmlformats.org/officeDocument/2006/custom-properties" xmlns:vt="http://schemas.openxmlformats.org/officeDocument/2006/docPropsVTypes"/>
</file>