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8vdaf74jv8y" w:id="0"/>
      <w:bookmarkEnd w:id="0"/>
      <w:r w:rsidDel="00000000" w:rsidR="00000000" w:rsidRPr="00000000">
        <w:rPr>
          <w:rtl w:val="0"/>
        </w:rPr>
        <w:t xml:space="preserve">Advancing Retrieval-Augmented Generation: Multimodal Retrieval, Metadata Optimization, and Fact-Checking</w:t>
      </w:r>
    </w:p>
    <w:p w:rsidR="00000000" w:rsidDel="00000000" w:rsidP="00000000" w:rsidRDefault="00000000" w:rsidRPr="00000000" w14:paraId="00000002">
      <w:pPr>
        <w:pStyle w:val="Heading4"/>
        <w:rPr/>
      </w:pPr>
      <w:bookmarkStart w:colFirst="0" w:colLast="0" w:name="_covyp18f93k4"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Current research into Retrieval-Augmented Generation (RAG) indicates a shift from "naive" text-only pipelines toward more sophisticated, metadata-driven, and multimodal architectures. Key findings from recent empirical studies suggest that direct multimodal embedding retrieval—where images and charts are stored in their native visual form—outperforms conventional text-summarization methods by 32% in Mean Average Precision (mAP@5). Furthermore, the integration of LLM-generated metadata into "contextual chunks" significantly improves generation quality and numerical fidelity in complex domains like finance.Critical challenges identified across the literature include the "lost in the middle" phenomenon—where Large Language Models (LLMs) overlook information placed in the center of a context window—and the destructive impact of "distractors" (irrelevant but semantically similar documents), which can degrade performance by up to 26%. To mitigate these, researchers propose dynamic context selection using query-specific classifiers and lightweight, Natural Language Inference (NLI)-based fact-checkers that offer low-latency verification without the high cost of LLM-as-a-judge models.</w:t>
      </w:r>
    </w:p>
    <w:p w:rsidR="00000000" w:rsidDel="00000000" w:rsidP="00000000" w:rsidRDefault="00000000" w:rsidRPr="00000000" w14:paraId="00000004">
      <w:pPr>
        <w:pStyle w:val="Heading4"/>
        <w:rPr/>
      </w:pPr>
      <w:bookmarkStart w:colFirst="0" w:colLast="0" w:name="_qsc5fgvuc94d" w:id="2"/>
      <w:bookmarkEnd w:id="2"/>
      <w:r w:rsidDel="00000000" w:rsidR="00000000" w:rsidRPr="00000000">
        <w:rPr>
          <w:rtl w:val="0"/>
        </w:rPr>
        <w:t xml:space="preserve">1. Multimodal Retrieval Strategies: Text vs. Image-Based Approaches</w:t>
      </w:r>
    </w:p>
    <w:p w:rsidR="00000000" w:rsidDel="00000000" w:rsidP="00000000" w:rsidRDefault="00000000" w:rsidRPr="00000000" w14:paraId="00000005">
      <w:pPr>
        <w:rPr/>
      </w:pPr>
      <w:r w:rsidDel="00000000" w:rsidR="00000000" w:rsidRPr="00000000">
        <w:rPr>
          <w:rtl w:val="0"/>
        </w:rPr>
        <w:t xml:space="preserve">A primary limitation in standard RAG systems is the reliance on LLM-based summarization to convert visual data (charts, diagrams, tables) into text during preprocessing. This process frequently results in the loss of spatial relationships, visual context, and numerical precision.</w:t>
      </w:r>
    </w:p>
    <w:p w:rsidR="00000000" w:rsidDel="00000000" w:rsidP="00000000" w:rsidRDefault="00000000" w:rsidRPr="00000000" w14:paraId="00000006">
      <w:pPr>
        <w:pStyle w:val="Heading5"/>
        <w:rPr/>
      </w:pPr>
      <w:bookmarkStart w:colFirst="0" w:colLast="0" w:name="_2s8i64o2yrze" w:id="3"/>
      <w:bookmarkEnd w:id="3"/>
      <w:r w:rsidDel="00000000" w:rsidR="00000000" w:rsidRPr="00000000">
        <w:rPr>
          <w:rtl w:val="0"/>
        </w:rPr>
        <w:t xml:space="preserve">1.1 Performance Gains from Native Image Embeddings</w:t>
      </w:r>
    </w:p>
    <w:p w:rsidR="00000000" w:rsidDel="00000000" w:rsidP="00000000" w:rsidRDefault="00000000" w:rsidRPr="00000000" w14:paraId="00000007">
      <w:pPr>
        <w:rPr/>
      </w:pPr>
      <w:r w:rsidDel="00000000" w:rsidR="00000000" w:rsidRPr="00000000">
        <w:rPr>
          <w:rtl w:val="0"/>
        </w:rPr>
        <w:t xml:space="preserve">Comparative analysis of two retrieval approaches—text-based chunk retrieval (summarized images) and direct multimodal embedding retrieval (native image storage)—demonstrates the superiority of the latter.| Metric | Direct Multimodal Retrieval (IMG) | LLM-Summary Retrieval (LLM IMG) | Absolute Improvement || ------ | ------ | ------ | ------ || </w:t>
      </w:r>
      <w:r w:rsidDel="00000000" w:rsidR="00000000" w:rsidRPr="00000000">
        <w:rPr>
          <w:b w:val="1"/>
          <w:bCs w:val="1"/>
          <w:rtl w:val="0"/>
        </w:rPr>
        <w:t xml:space="preserve">mAP@5</w:t>
      </w:r>
      <w:r w:rsidDel="00000000" w:rsidR="00000000" w:rsidRPr="00000000">
        <w:rPr>
          <w:rtl w:val="0"/>
        </w:rPr>
        <w:t xml:space="preserve"> | 0.5234 | 0.3963 | +13% (32% relative) || </w:t>
      </w:r>
      <w:r w:rsidDel="00000000" w:rsidR="00000000" w:rsidRPr="00000000">
        <w:rPr>
          <w:b w:val="1"/>
          <w:bCs w:val="1"/>
          <w:rtl w:val="0"/>
        </w:rPr>
        <w:t xml:space="preserve">nDCG@5</w:t>
      </w:r>
      <w:r w:rsidDel="00000000" w:rsidR="00000000" w:rsidRPr="00000000">
        <w:rPr>
          <w:rtl w:val="0"/>
        </w:rPr>
        <w:t xml:space="preserve"> | 0.6543 | 0.5448 | +11% (20% relative) || </w:t>
      </w:r>
      <w:r w:rsidDel="00000000" w:rsidR="00000000" w:rsidRPr="00000000">
        <w:rPr>
          <w:b w:val="1"/>
          <w:bCs w:val="1"/>
          <w:rtl w:val="0"/>
        </w:rPr>
        <w:t xml:space="preserve">Precision@5</w:t>
      </w:r>
      <w:r w:rsidDel="00000000" w:rsidR="00000000" w:rsidRPr="00000000">
        <w:rPr>
          <w:rtl w:val="0"/>
        </w:rPr>
        <w:t xml:space="preserve"> | 0.540 | 0.480 | +6% || </w:t>
      </w:r>
      <w:r w:rsidDel="00000000" w:rsidR="00000000" w:rsidRPr="00000000">
        <w:rPr>
          <w:b w:val="1"/>
          <w:bCs w:val="1"/>
          <w:rtl w:val="0"/>
        </w:rPr>
        <w:t xml:space="preserve">Recall@5</w:t>
      </w:r>
      <w:r w:rsidDel="00000000" w:rsidR="00000000" w:rsidRPr="00000000">
        <w:rPr>
          <w:rtl w:val="0"/>
        </w:rPr>
        <w:t xml:space="preserve"> | 0.5529 | 0.5362 | +1.67% |</w:t>
      </w:r>
    </w:p>
    <w:p w:rsidR="00000000" w:rsidDel="00000000" w:rsidP="00000000" w:rsidRDefault="00000000" w:rsidRPr="00000000" w14:paraId="00000008">
      <w:pPr>
        <w:pStyle w:val="Heading5"/>
        <w:rPr/>
      </w:pPr>
      <w:bookmarkStart w:colFirst="0" w:colLast="0" w:name="_6p4hcx15y3wl" w:id="4"/>
      <w:bookmarkEnd w:id="4"/>
      <w:r w:rsidDel="00000000" w:rsidR="00000000" w:rsidRPr="00000000">
        <w:rPr>
          <w:rtl w:val="0"/>
        </w:rPr>
        <w:t xml:space="preserve">1.2 Impact on Downstream Answer Quality</w:t>
      </w:r>
    </w:p>
    <w:p w:rsidR="00000000" w:rsidDel="00000000" w:rsidP="00000000" w:rsidRDefault="00000000" w:rsidRPr="00000000" w14:paraId="00000009">
      <w:pPr>
        <w:rPr/>
      </w:pPr>
      <w:r w:rsidDel="00000000" w:rsidR="00000000" w:rsidRPr="00000000">
        <w:rPr>
          <w:rtl w:val="0"/>
        </w:rPr>
        <w:t xml:space="preserve">Native image retrieval significantly improves the factual accuracy of generated responses, particularly for larger models.</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GPT-5 Performance:</w:t>
      </w:r>
      <w:r w:rsidDel="00000000" w:rsidR="00000000" w:rsidRPr="00000000">
        <w:rPr>
          <w:rtl w:val="0"/>
        </w:rPr>
        <w:t xml:space="preserve">  When using native image embeddings, GPT-5 achieved an 82% win rate compared to 18% for summary-based retrieval.</w:t>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Hallucination Control:</w:t>
      </w:r>
      <w:r w:rsidDel="00000000" w:rsidR="00000000" w:rsidRPr="00000000">
        <w:rPr>
          <w:rtl w:val="0"/>
        </w:rPr>
        <w:t xml:space="preserve">  Direct multimodal retrieval reduced unsupported additions (hallucinations) by 80 absolute percentage points for GPT-5, compared to text summarization.</w:t>
      </w:r>
    </w:p>
    <w:p w:rsidR="00000000" w:rsidDel="00000000" w:rsidP="00000000" w:rsidRDefault="00000000" w:rsidRPr="00000000" w14:paraId="0000000C">
      <w:pPr>
        <w:numPr>
          <w:ilvl w:val="0"/>
          <w:numId w:val="9"/>
        </w:numPr>
        <w:ind w:left="720" w:hanging="360"/>
        <w:rPr>
          <w:u w:val="none"/>
        </w:rPr>
      </w:pPr>
      <w:r w:rsidDel="00000000" w:rsidR="00000000" w:rsidRPr="00000000">
        <w:rPr>
          <w:b w:val="1"/>
          <w:bCs w:val="1"/>
          <w:rtl w:val="0"/>
        </w:rPr>
        <w:t xml:space="preserve">Model Tier Variability:</w:t>
      </w:r>
      <w:r w:rsidDel="00000000" w:rsidR="00000000" w:rsidRPr="00000000">
        <w:rPr>
          <w:rtl w:val="0"/>
        </w:rPr>
        <w:t xml:space="preserve">  While larger models (GPT-5, GPT-4o) benefit greatly from visual context, "mini" variants (GPT-5-mini, GPT-4o-mini) show diminishing returns, indicating a requirement for sufficient model capacity to process cross-modal reasoning.</w:t>
      </w:r>
    </w:p>
    <w:p w:rsidR="00000000" w:rsidDel="00000000" w:rsidP="00000000" w:rsidRDefault="00000000" w:rsidRPr="00000000" w14:paraId="0000000D">
      <w:pPr>
        <w:pStyle w:val="Heading4"/>
        <w:rPr/>
      </w:pPr>
      <w:bookmarkStart w:colFirst="0" w:colLast="0" w:name="_xy7vltjh8vz" w:id="5"/>
      <w:bookmarkEnd w:id="5"/>
      <w:r w:rsidDel="00000000" w:rsidR="00000000" w:rsidRPr="00000000">
        <w:rPr>
          <w:rtl w:val="0"/>
        </w:rPr>
        <w:t xml:space="preserve">2. Metadata-Driven RAG Architectures</w:t>
      </w:r>
    </w:p>
    <w:p w:rsidR="00000000" w:rsidDel="00000000" w:rsidP="00000000" w:rsidRDefault="00000000" w:rsidRPr="00000000" w14:paraId="0000000E">
      <w:pPr>
        <w:rPr/>
      </w:pPr>
      <w:r w:rsidDel="00000000" w:rsidR="00000000" w:rsidRPr="00000000">
        <w:rPr>
          <w:rtl w:val="0"/>
        </w:rPr>
        <w:t xml:space="preserve">In financial and regulatory domains, treating documents as flat text chunks leads to the loss of hierarchical structure. Advanced architectures now leverage LLM-generated metadata at both the document and chunk levels.</w:t>
      </w:r>
    </w:p>
    <w:p w:rsidR="00000000" w:rsidDel="00000000" w:rsidP="00000000" w:rsidRDefault="00000000" w:rsidRPr="00000000" w14:paraId="0000000F">
      <w:pPr>
        <w:pStyle w:val="Heading5"/>
        <w:rPr/>
      </w:pPr>
      <w:bookmarkStart w:colFirst="0" w:colLast="0" w:name="_wu538fh5b5tt" w:id="6"/>
      <w:bookmarkEnd w:id="6"/>
      <w:r w:rsidDel="00000000" w:rsidR="00000000" w:rsidRPr="00000000">
        <w:rPr>
          <w:rtl w:val="0"/>
        </w:rPr>
        <w:t xml:space="preserve">2.1 The Contextual Chunking Pipeline</w:t>
      </w:r>
    </w:p>
    <w:p w:rsidR="00000000" w:rsidDel="00000000" w:rsidP="00000000" w:rsidRDefault="00000000" w:rsidRPr="00000000" w14:paraId="00000010">
      <w:pPr>
        <w:rPr/>
      </w:pPr>
      <w:r w:rsidDel="00000000" w:rsidR="00000000" w:rsidRPr="00000000">
        <w:rPr>
          <w:rtl w:val="0"/>
        </w:rPr>
        <w:t xml:space="preserve">A multi-stage offline indexing pipeline enhances retrieval by:</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Document-Level Metadata:</w:t>
      </w:r>
      <w:r w:rsidDel="00000000" w:rsidR="00000000" w:rsidRPr="00000000">
        <w:rPr>
          <w:rtl w:val="0"/>
        </w:rPr>
        <w:t xml:space="preserve">  Generating one-liners, analytical summaries, and thematic clusters (e.g., "Risk Factors").</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Chunk-Level Enrichment:</w:t>
      </w:r>
      <w:r w:rsidDel="00000000" w:rsidR="00000000" w:rsidRPr="00000000">
        <w:rPr>
          <w:rtl w:val="0"/>
        </w:rPr>
        <w:t xml:space="preserve">  Analyzing individual segments to identify key entities, potential question-answer pairs, and "retrieval nuggets" (implicit insights).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Contextual Embedding:</w:t>
      </w:r>
      <w:r w:rsidDel="00000000" w:rsidR="00000000" w:rsidRPr="00000000">
        <w:rPr>
          <w:rtl w:val="0"/>
        </w:rPr>
        <w:t xml:space="preserve">  Prepending this metadata to the raw chunk text before vectorization. This "Ctx" approach consistently results in higher F1-scores for final generation compared to standard (Std) chunks.</w:t>
      </w:r>
    </w:p>
    <w:p w:rsidR="00000000" w:rsidDel="00000000" w:rsidP="00000000" w:rsidRDefault="00000000" w:rsidRPr="00000000" w14:paraId="00000014">
      <w:pPr>
        <w:pStyle w:val="Heading5"/>
        <w:rPr/>
      </w:pPr>
      <w:bookmarkStart w:colFirst="0" w:colLast="0" w:name="_c5xgxo9c52vs" w:id="7"/>
      <w:bookmarkEnd w:id="7"/>
      <w:r w:rsidDel="00000000" w:rsidR="00000000" w:rsidRPr="00000000">
        <w:rPr>
          <w:rtl w:val="0"/>
        </w:rPr>
        <w:t xml:space="preserve">2.2 Reranking and Filtering Efficiency</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Reranking as a Requirement:</w:t>
      </w:r>
      <w:r w:rsidDel="00000000" w:rsidR="00000000" w:rsidRPr="00000000">
        <w:rPr>
          <w:rtl w:val="0"/>
        </w:rPr>
        <w:t xml:space="preserve">  Empirical results show that hybrid retrieval (dense + sparse) can actually degrade performance unless paired with a robust reranker to filter out noise.</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Custom vs. Commercial Rerankers:</w:t>
      </w:r>
      <w:r w:rsidDel="00000000" w:rsidR="00000000" w:rsidRPr="00000000">
        <w:rPr>
          <w:rtl w:val="0"/>
        </w:rPr>
        <w:t xml:space="preserve">  Custom metadata-aware rerankers—scoring chunks based on entity frequency and cluster coherence—achieve F1-scores (43.2) competitive with commercial solutions like Cohere (44.4) while offering superior latency and zero marginal operational cost.</w:t>
      </w:r>
    </w:p>
    <w:p w:rsidR="00000000" w:rsidDel="00000000" w:rsidP="00000000" w:rsidRDefault="00000000" w:rsidRPr="00000000" w14:paraId="00000017">
      <w:pPr>
        <w:pStyle w:val="Heading4"/>
        <w:rPr/>
      </w:pPr>
      <w:bookmarkStart w:colFirst="0" w:colLast="0" w:name="_w0k6dpi7rezi" w:id="8"/>
      <w:bookmarkEnd w:id="8"/>
      <w:r w:rsidDel="00000000" w:rsidR="00000000" w:rsidRPr="00000000">
        <w:rPr>
          <w:rtl w:val="0"/>
        </w:rPr>
        <w:t xml:space="preserve">3. Dynamic Context Selection and Positional Bias</w:t>
      </w:r>
    </w:p>
    <w:p w:rsidR="00000000" w:rsidDel="00000000" w:rsidP="00000000" w:rsidRDefault="00000000" w:rsidRPr="00000000" w14:paraId="00000018">
      <w:pPr>
        <w:rPr/>
      </w:pPr>
      <w:r w:rsidDel="00000000" w:rsidR="00000000" w:rsidRPr="00000000">
        <w:rPr>
          <w:rtl w:val="0"/>
        </w:rPr>
        <w:t xml:space="preserve">RAG performance is heavily influenced by the volume and placement of retrieved information. Standard fixed-k retrieval (retrieving a set number of documents for every query) is often suboptimal.</w:t>
      </w:r>
    </w:p>
    <w:p w:rsidR="00000000" w:rsidDel="00000000" w:rsidP="00000000" w:rsidRDefault="00000000" w:rsidRPr="00000000" w14:paraId="00000019">
      <w:pPr>
        <w:pStyle w:val="Heading5"/>
        <w:rPr/>
      </w:pPr>
      <w:bookmarkStart w:colFirst="0" w:colLast="0" w:name="_jenzc16phelb" w:id="9"/>
      <w:bookmarkEnd w:id="9"/>
      <w:r w:rsidDel="00000000" w:rsidR="00000000" w:rsidRPr="00000000">
        <w:rPr>
          <w:rtl w:val="0"/>
        </w:rPr>
        <w:t xml:space="preserve">3.1 The "Lost in the Middle" Phenomenon</w:t>
      </w:r>
    </w:p>
    <w:p w:rsidR="00000000" w:rsidDel="00000000" w:rsidP="00000000" w:rsidRDefault="00000000" w:rsidRPr="00000000" w14:paraId="0000001A">
      <w:pPr>
        <w:rPr/>
      </w:pPr>
      <w:r w:rsidDel="00000000" w:rsidR="00000000" w:rsidRPr="00000000">
        <w:rPr>
          <w:rtl w:val="0"/>
        </w:rPr>
        <w:t xml:space="preserve">Research confirms that LLMs prioritize information appearing at the beginning or end of a context sequence. Information placed in the middle is frequently ignored, leading to lower generation quality.</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Positional Strategy:</w:t>
      </w:r>
      <w:r w:rsidDel="00000000" w:rsidR="00000000" w:rsidRPr="00000000">
        <w:rPr>
          <w:rtl w:val="0"/>
        </w:rPr>
        <w:t xml:space="preserve">  Moving relevant passages to the end of the context window yields the highest Exact Match (EM) and F1 scores.</w:t>
      </w:r>
    </w:p>
    <w:p w:rsidR="00000000" w:rsidDel="00000000" w:rsidP="00000000" w:rsidRDefault="00000000" w:rsidRPr="00000000" w14:paraId="0000001C">
      <w:pPr>
        <w:pStyle w:val="Heading5"/>
        <w:rPr/>
      </w:pPr>
      <w:bookmarkStart w:colFirst="0" w:colLast="0" w:name="_dt580aa7qen0" w:id="10"/>
      <w:bookmarkEnd w:id="10"/>
      <w:r w:rsidDel="00000000" w:rsidR="00000000" w:rsidRPr="00000000">
        <w:rPr>
          <w:rtl w:val="0"/>
        </w:rPr>
        <w:t xml:space="preserve">3.2 Distractor Mitigation</w:t>
      </w:r>
    </w:p>
    <w:p w:rsidR="00000000" w:rsidDel="00000000" w:rsidP="00000000" w:rsidRDefault="00000000" w:rsidRPr="00000000" w14:paraId="0000001D">
      <w:pPr>
        <w:rPr/>
      </w:pPr>
      <w:r w:rsidDel="00000000" w:rsidR="00000000" w:rsidRPr="00000000">
        <w:rPr>
          <w:rtl w:val="0"/>
        </w:rPr>
        <w:t xml:space="preserve">Distractors are retrieved texts that are semantically similar to the query but irrelevant to the answer.</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Impact:</w:t>
      </w:r>
      <w:r w:rsidDel="00000000" w:rsidR="00000000" w:rsidRPr="00000000">
        <w:rPr>
          <w:rtl w:val="0"/>
        </w:rPr>
        <w:t xml:space="preserve">  A single distractor can drop performance by more than 26% in 2-hop reasoning tasks.</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Dynamic-k Classifier:</w:t>
      </w:r>
      <w:r w:rsidDel="00000000" w:rsidR="00000000" w:rsidRPr="00000000">
        <w:rPr>
          <w:rtl w:val="0"/>
        </w:rPr>
        <w:t xml:space="preserve">  Implementing a classifier to predict the optimal number of documents to retrieve based on query complexity (e.g., 2-hop vs. 4-hop) improves precision. When combined with an LLM reranker, this "Classifier-LLM" pipeline significantly outperforms fixed-k baselines.</w:t>
      </w:r>
    </w:p>
    <w:p w:rsidR="00000000" w:rsidDel="00000000" w:rsidP="00000000" w:rsidRDefault="00000000" w:rsidRPr="00000000" w14:paraId="00000020">
      <w:pPr>
        <w:pStyle w:val="Heading4"/>
        <w:rPr/>
      </w:pPr>
      <w:bookmarkStart w:colFirst="0" w:colLast="0" w:name="_q4n8zm6e2p5e" w:id="11"/>
      <w:bookmarkEnd w:id="11"/>
      <w:r w:rsidDel="00000000" w:rsidR="00000000" w:rsidRPr="00000000">
        <w:rPr>
          <w:rtl w:val="0"/>
        </w:rPr>
        <w:t xml:space="preserve">4. Verification and Fact-Checking: The "Provenance" System</w:t>
      </w:r>
    </w:p>
    <w:p w:rsidR="00000000" w:rsidDel="00000000" w:rsidP="00000000" w:rsidRDefault="00000000" w:rsidRPr="00000000" w14:paraId="00000021">
      <w:pPr>
        <w:rPr/>
      </w:pPr>
      <w:r w:rsidDel="00000000" w:rsidR="00000000" w:rsidRPr="00000000">
        <w:rPr>
          <w:rtl w:val="0"/>
        </w:rPr>
        <w:t xml:space="preserve">To ensure reliability without the latency of calling a large LLM as a judge, lightweight fact-checking frameworks use compact, open-source models.</w:t>
      </w:r>
    </w:p>
    <w:p w:rsidR="00000000" w:rsidDel="00000000" w:rsidP="00000000" w:rsidRDefault="00000000" w:rsidRPr="00000000" w14:paraId="00000022">
      <w:pPr>
        <w:pStyle w:val="Heading5"/>
        <w:rPr/>
      </w:pPr>
      <w:bookmarkStart w:colFirst="0" w:colLast="0" w:name="_bdxxg5u4k6iw" w:id="12"/>
      <w:bookmarkEnd w:id="12"/>
      <w:r w:rsidDel="00000000" w:rsidR="00000000" w:rsidRPr="00000000">
        <w:rPr>
          <w:rtl w:val="0"/>
        </w:rPr>
        <w:t xml:space="preserve">4.1 System Components</w:t>
      </w:r>
    </w:p>
    <w:p w:rsidR="00000000" w:rsidDel="00000000" w:rsidP="00000000" w:rsidRDefault="00000000" w:rsidRPr="00000000" w14:paraId="00000023">
      <w:pPr>
        <w:rPr/>
      </w:pPr>
      <w:r w:rsidDel="00000000" w:rsidR="00000000" w:rsidRPr="00000000">
        <w:rPr>
          <w:rtl w:val="0"/>
        </w:rPr>
        <w:t xml:space="preserve">The Provenance system utilizes cross-encoder based models (~300M parameters) to validate output:</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Relevancy Scorer:</w:t>
      </w:r>
      <w:r w:rsidDel="00000000" w:rsidR="00000000" w:rsidRPr="00000000">
        <w:rPr>
          <w:rtl w:val="0"/>
        </w:rPr>
        <w:t xml:space="preserve">  Ranks context items against the original query.</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Context Item Selector:</w:t>
      </w:r>
      <w:r w:rsidDel="00000000" w:rsidR="00000000" w:rsidRPr="00000000">
        <w:rPr>
          <w:rtl w:val="0"/>
        </w:rPr>
        <w:t xml:space="preserve">  Uses strategies like  </w:t>
      </w:r>
      <w:r w:rsidDel="00000000" w:rsidR="00000000" w:rsidRPr="00000000">
        <w:rPr>
          <w:b w:val="1"/>
          <w:bCs w:val="1"/>
          <w:rtl w:val="0"/>
        </w:rPr>
        <w:t xml:space="preserve">TopP</w:t>
      </w:r>
      <w:r w:rsidDel="00000000" w:rsidR="00000000" w:rsidRPr="00000000">
        <w:rPr>
          <w:rtl w:val="0"/>
        </w:rPr>
        <w:t xml:space="preserve">  (nucleus sampling) or  </w:t>
      </w:r>
      <w:r w:rsidDel="00000000" w:rsidR="00000000" w:rsidRPr="00000000">
        <w:rPr>
          <w:b w:val="1"/>
          <w:bCs w:val="1"/>
          <w:rtl w:val="0"/>
        </w:rPr>
        <w:t xml:space="preserve">TopK</w:t>
      </w:r>
      <w:r w:rsidDel="00000000" w:rsidR="00000000" w:rsidRPr="00000000">
        <w:rPr>
          <w:rtl w:val="0"/>
        </w:rPr>
        <w:t xml:space="preserve">  to build a focused "source" set.</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Fact Checker:</w:t>
      </w:r>
      <w:r w:rsidDel="00000000" w:rsidR="00000000" w:rsidRPr="00000000">
        <w:rPr>
          <w:rtl w:val="0"/>
        </w:rPr>
        <w:t xml:space="preserve">  A Natural Language Inference (NLI) model that checks if the generated answer is supported by the selected sources in light of the query.</w:t>
      </w:r>
    </w:p>
    <w:p w:rsidR="00000000" w:rsidDel="00000000" w:rsidP="00000000" w:rsidRDefault="00000000" w:rsidRPr="00000000" w14:paraId="00000027">
      <w:pPr>
        <w:pStyle w:val="Heading5"/>
        <w:rPr/>
      </w:pPr>
      <w:bookmarkStart w:colFirst="0" w:colLast="0" w:name="_gd56avu2yizs" w:id="13"/>
      <w:bookmarkEnd w:id="13"/>
      <w:r w:rsidDel="00000000" w:rsidR="00000000" w:rsidRPr="00000000">
        <w:rPr>
          <w:rtl w:val="0"/>
        </w:rPr>
        <w:t xml:space="preserve">4.2 Accuracy Comparisons</w:t>
      </w:r>
    </w:p>
    <w:p w:rsidR="00000000" w:rsidDel="00000000" w:rsidP="00000000" w:rsidRDefault="00000000" w:rsidRPr="00000000" w14:paraId="00000028">
      <w:pPr>
        <w:rPr/>
      </w:pPr>
      <w:r w:rsidDel="00000000" w:rsidR="00000000" w:rsidRPr="00000000">
        <w:rPr>
          <w:rtl w:val="0"/>
        </w:rPr>
        <w:t xml:space="preserve">Provenance achieves competitive results with models two orders of magnitude larger:</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HaluEval Summarization:</w:t>
      </w:r>
      <w:r w:rsidDel="00000000" w:rsidR="00000000" w:rsidRPr="00000000">
        <w:rPr>
          <w:rtl w:val="0"/>
        </w:rPr>
        <w:t xml:space="preserve">  Provenance (300M parameters) achieved 62.27% accuracy, surpassing ChatGPT (175B parameters) at 58.53%.</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Latency and Cost:</w:t>
      </w:r>
      <w:r w:rsidDel="00000000" w:rsidR="00000000" w:rsidRPr="00000000">
        <w:rPr>
          <w:rtl w:val="0"/>
        </w:rPr>
        <w:t xml:space="preserve">  Because it relies on compact cross-encoders rather than auto-regressive LLMs, this method provides a low-cost, low-latency solution for production environments.</w:t>
      </w:r>
    </w:p>
    <w:p w:rsidR="00000000" w:rsidDel="00000000" w:rsidP="00000000" w:rsidRDefault="00000000" w:rsidRPr="00000000" w14:paraId="0000002B">
      <w:pPr>
        <w:pStyle w:val="Heading4"/>
        <w:rPr/>
      </w:pPr>
      <w:bookmarkStart w:colFirst="0" w:colLast="0" w:name="_fwbrteahmoaa" w:id="14"/>
      <w:bookmarkEnd w:id="14"/>
      <w:r w:rsidDel="00000000" w:rsidR="00000000" w:rsidRPr="00000000">
        <w:rPr>
          <w:rtl w:val="0"/>
        </w:rPr>
        <w:t xml:space="preserve">5. Practical Challenges in Document Parsing</w:t>
      </w:r>
    </w:p>
    <w:p w:rsidR="00000000" w:rsidDel="00000000" w:rsidP="00000000" w:rsidRDefault="00000000" w:rsidRPr="00000000" w14:paraId="0000002C">
      <w:pPr>
        <w:rPr/>
      </w:pPr>
      <w:r w:rsidDel="00000000" w:rsidR="00000000" w:rsidRPr="00000000">
        <w:rPr>
          <w:rtl w:val="0"/>
        </w:rPr>
        <w:t xml:space="preserve">Parsing complex PDFs, particularly those with scientific or financial data, remains a significant hurdle.</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Tables:</w:t>
      </w:r>
      <w:r w:rsidDel="00000000" w:rsidR="00000000" w:rsidRPr="00000000">
        <w:rPr>
          <w:rtl w:val="0"/>
        </w:rPr>
        <w:t xml:space="preserve">  Simple text extraction often destroys table structure. Recommended strategies include converting tables to  </w:t>
      </w:r>
      <w:r w:rsidDel="00000000" w:rsidR="00000000" w:rsidRPr="00000000">
        <w:rPr>
          <w:b w:val="1"/>
          <w:bCs w:val="1"/>
          <w:rtl w:val="0"/>
        </w:rPr>
        <w:t xml:space="preserve">JSON</w:t>
      </w:r>
      <w:r w:rsidDel="00000000" w:rsidR="00000000" w:rsidRPr="00000000">
        <w:rPr>
          <w:rtl w:val="0"/>
        </w:rPr>
        <w:t xml:space="preserve">  or  </w:t>
      </w:r>
      <w:r w:rsidDel="00000000" w:rsidR="00000000" w:rsidRPr="00000000">
        <w:rPr>
          <w:b w:val="1"/>
          <w:bCs w:val="1"/>
          <w:rtl w:val="0"/>
        </w:rPr>
        <w:t xml:space="preserve">Markdown</w:t>
      </w:r>
      <w:r w:rsidDel="00000000" w:rsidR="00000000" w:rsidRPr="00000000">
        <w:rPr>
          <w:rtl w:val="0"/>
        </w:rPr>
        <w:t xml:space="preserve">  formats to maintain cell relationships.</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Equations and Diagrams:</w:t>
      </w:r>
      <w:r w:rsidDel="00000000" w:rsidR="00000000" w:rsidRPr="00000000">
        <w:rPr>
          <w:rtl w:val="0"/>
        </w:rPr>
        <w:t xml:space="preserve">  These are notoriously difficult to extract without specialized tools. Emerging strategies suggest treating PDF pages as images and using multimodal models (like gpt-4-vision) to interpret them directly.</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Financial Accuracy:</w:t>
      </w:r>
      <w:r w:rsidDel="00000000" w:rsidR="00000000" w:rsidRPr="00000000">
        <w:rPr>
          <w:rtl w:val="0"/>
        </w:rPr>
        <w:t xml:space="preserve">  In testing with financial documents, simple retrieval systems often only achieve 70% accuracy. Higher reliability requires "agentic" approaches where code interpreters analyze raw numerical data (e.g., CSVs) rather than relying on text-based retrieval.</w:t>
      </w:r>
    </w:p>
    <w:p w:rsidR="00000000" w:rsidDel="00000000" w:rsidP="00000000" w:rsidRDefault="00000000" w:rsidRPr="00000000" w14:paraId="00000030">
      <w:pPr>
        <w:pStyle w:val="Heading4"/>
        <w:rPr/>
      </w:pPr>
      <w:bookmarkStart w:colFirst="0" w:colLast="0" w:name="_ua93e2hqd0tp" w:id="15"/>
      <w:bookmarkEnd w:id="15"/>
      <w:r w:rsidDel="00000000" w:rsidR="00000000" w:rsidRPr="00000000">
        <w:rPr>
          <w:rtl w:val="0"/>
        </w:rPr>
        <w:t xml:space="preserve">6. Synthesis of Key Conclusions</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Native Multimodality is Essential:</w:t>
      </w:r>
      <w:r w:rsidDel="00000000" w:rsidR="00000000" w:rsidRPr="00000000">
        <w:rPr>
          <w:rtl w:val="0"/>
        </w:rPr>
        <w:t xml:space="preserve">  Summarizing images into text is a lossy process; storing images natively in vector databases yields a 32% relative gain in retrieval ranking.</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Structure Matters:</w:t>
      </w:r>
      <w:r w:rsidDel="00000000" w:rsidR="00000000" w:rsidRPr="00000000">
        <w:rPr>
          <w:rtl w:val="0"/>
        </w:rPr>
        <w:t xml:space="preserve">  The order of context provided to an LLM determines its utility. Placing the most critical information at the end of the prompt mitigates the "lost in the middle" effect.</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Metadata Enhances Intelligence:</w:t>
      </w:r>
      <w:r w:rsidDel="00000000" w:rsidR="00000000" w:rsidRPr="00000000">
        <w:rPr>
          <w:rtl w:val="0"/>
        </w:rPr>
        <w:t xml:space="preserve">  Embedding metadata directly with chunks ("contextual chunks") makes the generator "smarter" by providing broader document context that individual segments lack.</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Efficiency in Verification:</w:t>
      </w:r>
      <w:r w:rsidDel="00000000" w:rsidR="00000000" w:rsidRPr="00000000">
        <w:rPr>
          <w:rtl w:val="0"/>
        </w:rPr>
        <w:t xml:space="preserve">  Lightweight NLI models are viable and often superior alternatives to large LLMs for real-time hallucination detection.</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