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01 Agent architecture and the ReAct runtime</w:t>
      </w:r>
    </w:p>
    <w:p>
      <w:r>
        <w:t>Instructor guide for the L3 agentic platform programme</w:t>
      </w:r>
    </w:p>
    <w:p>
      <w:r>
        <w:rPr>
          <w:b/>
        </w:rPr>
        <w:t xml:space="preserve">Outcome </w:t>
      </w:r>
      <w:r>
        <w:t>A working, bounded single-agent runtime in the learner's own repository, with interchangeable model access and observable tool use.</w:t>
      </w:r>
    </w:p>
    <w:p>
      <w:r>
        <w:t>Duration: 120 minutes. Starting checkpoint: lesson-00. Ending checkpoint: lesson-01 (7133fdc).</w:t>
      </w:r>
    </w:p>
    <w:p>
      <w:pPr>
        <w:pStyle w:val="Heading1"/>
      </w:pPr>
      <w:r>
        <w:t>Where this session sits in the platform</w:t>
      </w:r>
    </w:p>
    <w:p>
      <w:r>
        <w:t>This session builds the core of the platform: the bounded agent runtime that every later component wraps rather than replaces. The agent registry (Session 08), MCP tool gateway (Session 09), identity and credentials (Session 10) and operations (Session 11) all sit around this loop. The run's event log, which records each model step, tool observation and failure, is the data that the console's Runs view renders as an event timeline from Session 08; today learners read it as JSON.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Refresh 2025 LLM/prompting/RAG basics and HTTP, JSON, async programming and tests. Prepare a demonstration project from the course kit's starter exactly as a learner would, with a GitLab repository in the course group, and rehearse all thirteen prompts on it. Keep the reference checkpoints at hand as the answer key for the excerpts. Read the architecture, ReAct and chosen model API tool-calling references.</w:t>
      </w:r>
    </w:p>
    <w:p>
      <w:r>
        <w:t>Sketch the target platform that you will draw in the opening, labelling each component with the session that builds it; the platform table above gives the order.</w:t>
      </w:r>
    </w:p>
    <w:p>
      <w:r>
        <w:t xml:space="preserve">Learners need two things: their own project repository in the course GitLab group,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Set up my project for the Building Agentic Platforms course, starting at lesson-00. Clone the public course repository from https://github.com/maxvpavlov/ciklum-innovate-l3-2026 into ~/agentic-course/course and treat that folder as read-only; its learner-kit folder is the course kit. Create my own project in ~/agentic-course/my-platform by copying learner-kit/starter, and make it a fresh Git repository with one initial commit. Install the pinned dependencies with uv for Python 3.12, run the tests with python -m pytest, and confirm that incident/__init__.py says LESSON = 0. Install the GitLab CLI, glab, if it is missing, and sign me in to GitLab; when a browser sign-in is needed, tell me what to do, and never ask me to paste a token into the chat. Ask me for the name of the GitLab group I was invited to, create a private repository for my project in that group, and push my project to it. Report both folder paths, the files in my project, the test result, the GitLab repository address and anything missing, such as uv, Python 3.12, glab or access to the group.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learner-kit/lessons/01 in the course repository: its README, the given files and the check pack. Copy the given files and the check pack into my project exactly as the README says, without changing them, and commit that. Then list the interfaces my code must provide, which checks now fail and why,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t>Session 01 is a demonstration. Learners need nothing before class and do not build during it: after class they repeat every prompt in their own project, starting with the setup prompt that creates their repository in the course GitLab group. Show each prompt exactly as they will use it, and point out where the check pack, the given files and the push happen.</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17</w:t>
            </w:r>
          </w:p>
        </w:tc>
        <w:tc>
          <w:tcPr>
            <w:tcW w:type="dxa" w:w="6696"/>
            <w:vAlign w:val="center"/>
            <w:tcMar>
              <w:top w:w="70" w:type="dxa"/>
              <w:bottom w:w="70" w:type="dxa"/>
              <w:left w:w="70" w:type="dxa"/>
              <w:right w:w="70" w:type="dxa"/>
            </w:tcMar>
          </w:tcPr>
          <w:p>
            <w:pPr>
              <w:spacing w:after="40" w:line="240" w:lineRule="auto"/>
            </w:pPr>
            <w:r>
              <w:rPr>
                <w:sz w:val="20"/>
              </w:rPr>
              <w:t>Course opening: why agent teams, when to split work, why a platform, its parts, and the incident premise</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17 to 30</w:t>
            </w:r>
          </w:p>
        </w:tc>
        <w:tc>
          <w:tcPr>
            <w:tcW w:type="dxa" w:w="6696"/>
            <w:vAlign w:val="center"/>
            <w:tcMar>
              <w:top w:w="70" w:type="dxa"/>
              <w:bottom w:w="70" w:type="dxa"/>
              <w:left w:w="70" w:type="dxa"/>
              <w:right w:w="70" w:type="dxa"/>
            </w:tcMar>
          </w:tcPr>
          <w:p>
            <w:pPr>
              <w:spacing w:after="40" w:line="240" w:lineRule="auto"/>
            </w:pPr>
            <w:r>
              <w:rPr>
                <w:sz w:val="20"/>
              </w:rPr>
              <w:t>Concept script: the ReAct loop, one real run, who owns identity and limits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75</w:t>
            </w:r>
          </w:p>
        </w:tc>
        <w:tc>
          <w:tcPr>
            <w:tcW w:type="dxa" w:w="6696"/>
            <w:vAlign w:val="center"/>
            <w:tcMar>
              <w:top w:w="70" w:type="dxa"/>
              <w:bottom w:w="70" w:type="dxa"/>
              <w:left w:w="70" w:type="dxa"/>
              <w:right w:w="70" w:type="dxa"/>
            </w:tcMar>
          </w:tcPr>
          <w:p>
            <w:pPr>
              <w:spacing w:after="40" w:line="240" w:lineRule="auto"/>
            </w:pPr>
            <w:r>
              <w:rPr>
                <w:sz w:val="20"/>
              </w:rPr>
              <w:t>Instructor demonstration of the setup prompt, the check pack and build steps 1 to 4 on a fresh project</w:t>
            </w:r>
          </w:p>
        </w:tc>
        <w:tc>
          <w:tcPr>
            <w:tcW w:type="dxa" w:w="1944"/>
            <w:vAlign w:val="center"/>
            <w:tcMar>
              <w:top w:w="70" w:type="dxa"/>
              <w:bottom w:w="70" w:type="dxa"/>
              <w:left w:w="70" w:type="dxa"/>
              <w:right w:w="70" w:type="dxa"/>
            </w:tcMar>
          </w:tcPr>
          <w:p>
            <w:pPr>
              <w:spacing w:after="40" w:line="240" w:lineRule="auto"/>
            </w:pPr>
            <w:r>
              <w:rPr>
                <w:sz w:val="20"/>
              </w:rPr>
              <w:t>Instructor demo</w:t>
            </w:r>
          </w:p>
        </w:tc>
      </w:tr>
      <w:tr>
        <w:tc>
          <w:tcPr>
            <w:tcW w:type="dxa" w:w="1440"/>
            <w:vAlign w:val="center"/>
            <w:tcMar>
              <w:top w:w="70" w:type="dxa"/>
              <w:bottom w:w="70" w:type="dxa"/>
              <w:left w:w="70" w:type="dxa"/>
              <w:right w:w="70" w:type="dxa"/>
            </w:tcMar>
          </w:tcPr>
          <w:p>
            <w:pPr>
              <w:spacing w:after="40" w:line="240" w:lineRule="auto"/>
            </w:pPr>
            <w:r>
              <w:rPr>
                <w:sz w:val="20"/>
              </w:rPr>
              <w:t>75 to 95</w:t>
            </w:r>
          </w:p>
        </w:tc>
        <w:tc>
          <w:tcPr>
            <w:tcW w:type="dxa" w:w="6696"/>
            <w:vAlign w:val="center"/>
            <w:tcMar>
              <w:top w:w="70" w:type="dxa"/>
              <w:bottom w:w="70" w:type="dxa"/>
              <w:left w:w="70" w:type="dxa"/>
              <w:right w:w="70" w:type="dxa"/>
            </w:tcMar>
          </w:tcPr>
          <w:p>
            <w:pPr>
              <w:spacing w:after="40" w:line="240" w:lineRule="auto"/>
            </w:pPr>
            <w:r>
              <w:rPr>
                <w:sz w:val="20"/>
              </w:rPr>
              <w:t>Break it on purpose: learners predict each guard's failure, the instructor runs it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95 to 110</w:t>
            </w:r>
          </w:p>
        </w:tc>
        <w:tc>
          <w:tcPr>
            <w:tcW w:type="dxa" w:w="6696"/>
            <w:vAlign w:val="center"/>
            <w:tcMar>
              <w:top w:w="70" w:type="dxa"/>
              <w:bottom w:w="70" w:type="dxa"/>
              <w:left w:w="70" w:type="dxa"/>
              <w:right w:w="70" w:type="dxa"/>
            </w:tcMar>
          </w:tcPr>
          <w:p>
            <w:pPr>
              <w:spacing w:after="40" w:line="240" w:lineRule="auto"/>
            </w:pPr>
            <w:r>
              <w:rPr>
                <w:sz w:val="20"/>
              </w:rPr>
              <w:t>Verification evidence, the review prompt and pushing the checkpoint to GitLab</w:t>
            </w:r>
          </w:p>
        </w:tc>
        <w:tc>
          <w:tcPr>
            <w:tcW w:type="dxa" w:w="1944"/>
            <w:vAlign w:val="center"/>
            <w:tcMar>
              <w:top w:w="70" w:type="dxa"/>
              <w:bottom w:w="70" w:type="dxa"/>
              <w:left w:w="70" w:type="dxa"/>
              <w:right w:w="70" w:type="dxa"/>
            </w:tcMar>
          </w:tcPr>
          <w:p>
            <w:pPr>
              <w:spacing w:after="40" w:line="240" w:lineRule="auto"/>
            </w:pPr>
            <w:r>
              <w:rPr>
                <w:sz w:val="20"/>
              </w:rPr>
              <w:t>Instructor demo</w:t>
            </w:r>
          </w:p>
        </w:tc>
      </w:tr>
      <w:tr>
        <w:tc>
          <w:tcPr>
            <w:tcW w:type="dxa" w:w="1440"/>
            <w:vAlign w:val="center"/>
            <w:tcMar>
              <w:top w:w="70" w:type="dxa"/>
              <w:bottom w:w="70" w:type="dxa"/>
              <w:left w:w="70" w:type="dxa"/>
              <w:right w:w="70" w:type="dxa"/>
            </w:tcMar>
          </w:tcPr>
          <w:p>
            <w:pPr>
              <w:spacing w:after="40" w:line="240" w:lineRule="auto"/>
            </w:pPr>
            <w:r>
              <w:rPr>
                <w:sz w:val="20"/>
              </w:rPr>
              <w:t>110 to 120</w:t>
            </w:r>
          </w:p>
        </w:tc>
        <w:tc>
          <w:tcPr>
            <w:tcW w:type="dxa" w:w="6696"/>
            <w:vAlign w:val="center"/>
            <w:tcMar>
              <w:top w:w="70" w:type="dxa"/>
              <w:bottom w:w="70" w:type="dxa"/>
              <w:left w:w="70" w:type="dxa"/>
              <w:right w:w="70" w:type="dxa"/>
            </w:tcMar>
          </w:tcPr>
          <w:p>
            <w:pPr>
              <w:spacing w:after="40" w:line="240" w:lineRule="auto"/>
            </w:pPr>
            <w:r>
              <w:rPr>
                <w:sz w:val="20"/>
              </w:rPr>
              <w:t>Questions and the after-class assignment: repeat every prompt in your own project</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Today we begin the platform that you will extend throughout this programme, so first draw where it is going. Put the agent runtime in the centre. Around it, sketch an agent registry of versioned definitions, remote agents and tool servers (Session 08); one MCP tool gateway that applies policy to every tool call and keeps an audit trail (Session 09); agent identity with delegated, short-lived credentials and a credential store (Session 10); and operations with evaluated releases (Session 11). Across the top, draw the platform console: a web UI that shows the registry, runs and approvals from Session 08, and later the gateway audit, identity and operations. Today we build only the centre box. Our incident is a payments service that slowed after a deployment; we want an investigation with cited evidence from mock logs and runbooks. Ask what a successful investigation should contain: a likely cause, the source of that claim, and a clear statement when evidence is insufficient. A fluent paragraph by itself is not an acceptance test. Our first checkpoint must also stop when it exhausts its allowance or begins repeating an action.</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Now zoom into the centre box and draw the model, runtime and tools as three separate boxes. The model proposes an action, the runtime decides whether and how to execute it, and the tool returns an observation. Every later capability, including subagents and remote agents, reuses this loop. A hard-coded sequence can prescribe the steps in advance, and for INC-001 alone it would work. An AI investigation platform is worth building because real incidents do not follow a path written in advance: the next step depends on what the last one revealed, and the investigation should end in an approved fix. An agent chooses the next permitted action from what it has observed, and later sessions add subagents, remote specialists and approved remediation around this loop. Explain that our default provider is a deterministic fixture policy. It produces a known series of requests, so everyone can debug the same behaviour without credentials or network variability. OpenAI-compatible and Anthropic adapters normalize real provider responses into that same internal contract. A passing offline test validates the loop and its boundaries; assessing live-model reasoning will require a separate benchmark. Finish by asking which component owns a timeout. The runtime owns it, because a model instruction cannot enforce elapsed time.</w:t>
      </w:r>
    </w:p>
    <w:p>
      <w:r>
        <w:rPr>
          <w:b/>
        </w:rPr>
        <w:t xml:space="preserve">PAUSE </w:t>
      </w:r>
      <w:r>
        <w:t>Invite one learner to trace the control flow and another to identify a failure boundary. Resolve different interpretations before opening the implementation.</w:t>
      </w:r>
    </w:p>
    <w:p>
      <w:pPr>
        <w:pStyle w:val="Heading2"/>
      </w:pPr>
      <w:r>
        <w:t>1 Define the run contract</w:t>
      </w:r>
    </w:p>
    <w:p>
      <w:r>
        <w:rPr>
          <w:b/>
        </w:rPr>
        <w:t xml:space="preserve">SAY </w:t>
      </w:r>
      <w:r>
        <w:t>Start with the values that application code controls. Tenant, run identifier, role and permitted tools belong in the execution context. They must not be supplied by a retrieved document. Keep the evolving messages and result in Run. This separation will matter when we persist a run or create a child: we can serialize task state while deliberately constructing its authority. Walk through one example context for Astro, then point to Limits. We have separate limits on steps, reported tokens, elapsed time and maximum requested output. These limits address different failure modes. Ask participants to identify the limit that catches a provider that hangs without producing any tokens.</w:t>
      </w:r>
    </w:p>
    <w:p>
      <w:r>
        <w:rPr>
          <w:b/>
        </w:rPr>
        <w:t xml:space="preserve">SHOW </w:t>
      </w:r>
      <w:r>
        <w:t>The current learner implementation and incident/core.py. Use the following prompt to make the bounded change, then inspect the agent’s result.</w:t>
      </w:r>
    </w:p>
    <w:p>
      <w:pPr>
        <w:pStyle w:val="AgentPrompt"/>
        <w:keepLines/>
      </w:pPr>
      <w:r>
        <w:rPr>
          <w:b/>
        </w:rPr>
        <w:t xml:space="preserve">PROMPT </w:t>
      </w:r>
      <w:r>
        <w:t>For Lesson 01, continue in my learner project. Create the Context, Limits, Reply and Run contracts in incident/core.py. Separate application-owned tenant identity, permissions and run identifiers from model messages and results. Make run state serializable and give the runtime explicit step, token and time limits. Keep this step focused on the contracts; do not implement later platform features. Show the fields, their owners and one example of a value the model must not control.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10 to 17 at lesson-01; common indentation is reduced for display. Ask the agent to explain material differences in behaviour.</w:t>
      </w:r>
    </w:p>
    <w:p>
      <w:pPr>
        <w:pStyle w:val="Code"/>
        <w:keepLines/>
      </w:pPr>
      <w:r>
        <w:t>@dataclass</w:t>
        <w:br/>
        <w:t>class Context:</w:t>
        <w:br/>
        <w:t xml:space="preserve">    tenant: str = "astro"</w:t>
        <w:br/>
        <w:t xml:space="preserve">    run_id: str = field(default_factory=lambda: uuid.uuid4().hex)</w:t>
        <w:br/>
        <w:t xml:space="preserve">    role: str = "investigator"</w:t>
        <w:br/>
        <w:t xml:space="preserve">    allowed: tuple[str, ...] = ("log_lookup", "runbook_search")</w:t>
        <w:br/>
        <w:t xml:space="preserve">    approved: tuple[str, ...] = ()</w:t>
        <w:br/>
        <w:t xml:space="preserve">    parent_id: str | None = None</w:t>
      </w:r>
    </w:p>
    <w:p>
      <w:r>
        <w:rPr>
          <w:b/>
        </w:rPr>
        <w:t xml:space="preserve">Explain the choice </w:t>
      </w:r>
      <w:r>
        <w:t>Typed dataclasses make ownership visible without introducing an orchestration framework. Run.snapshot exposes serializable state for later checkpoints. Token admission uses an approximate character-based input estimate at this stage; the provider's returned usage is checked again after each response.</w:t>
      </w:r>
    </w:p>
    <w:p>
      <w:r>
        <w:rPr>
          <w:b/>
        </w:rPr>
        <w:t xml:space="preserve">ASK </w:t>
      </w:r>
      <w:r>
        <w:t>Why not place allowed tools inside the model's answer?</w:t>
      </w:r>
    </w:p>
    <w:p>
      <w:r>
        <w:rPr>
          <w:b/>
        </w:rPr>
        <w:t xml:space="preserve">Likely answer </w:t>
      </w:r>
      <w:r>
        <w:t>An answer is untrusted output. The application constructs Context and decides the permitted capabilities independently.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Normalize model access</w:t>
      </w:r>
    </w:p>
    <w:p>
      <w:r>
        <w:rPr>
          <w:b/>
        </w:rPr>
        <w:t xml:space="preserve">SAY </w:t>
      </w:r>
      <w:r>
        <w:t>Keep provider-specific response shapes out of the loop. MockProvider and HTTPProvider both return a Reply containing an assistant message and usage. Show how an OpenAI tool call becomes an internal name and JSON arguments. Then show the Anthropic conversion, where tool results are user content blocks associated with a tool-use identifier. These are adapters around the same runtime. The environment selects the provider and model; credentials never go into the repository. Point out that changing a base URL is a configuration choice, not an instruction the agent is permitted to make during an investigation. For today's build, keep MODEL_PROVIDER set to mock.</w:t>
      </w:r>
    </w:p>
    <w:p>
      <w:r>
        <w:rPr>
          <w:b/>
        </w:rPr>
        <w:t xml:space="preserve">SHOW </w:t>
      </w:r>
      <w:r>
        <w:t>The current learner implementation and incident/providers.py. Use the following prompt to make the bounded change, then inspect the agent’s result.</w:t>
      </w:r>
    </w:p>
    <w:p>
      <w:pPr>
        <w:pStyle w:val="AgentPrompt"/>
        <w:keepLines/>
      </w:pPr>
      <w:r>
        <w:rPr>
          <w:b/>
        </w:rPr>
        <w:t xml:space="preserve">PROMPT </w:t>
      </w:r>
      <w:r>
        <w:t>For Lesson 01, continue in my learner project. Implement the provider interface in incident/providers.py using the current core contracts. Add the given MockProvider from the course kit unchanged, and implement configurable OpenAI-compatible and Anthropic adapters. Normalize messages, tool calls, errors and usage into Reply. Use mock HTTP responses to check both adapter request shapes without paid calls. Explain how provider selection and secrets are configured without exposing credentials.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106 to 117 at lesson-01; common indentation is reduced for display. Ask the agent to explain material differences in behaviour.</w:t>
      </w:r>
    </w:p>
    <w:p>
      <w:pPr>
        <w:pStyle w:val="Code"/>
        <w:keepLines/>
      </w:pPr>
      <w:r>
        <w:t>def provider_from_env():</w:t>
        <w:br/>
        <w:t xml:space="preserve">    kind = os.getenv("MODEL_PROVIDER", "mock")</w:t>
        <w:br/>
        <w:t xml:space="preserve">    if kind == "mock":</w:t>
        <w:br/>
        <w:t xml:space="preserve">        return MockProvider()</w:t>
        <w:br/>
        <w:t xml:space="preserve">    if kind not in {"openai", "openai-compatible", "anthropic"}:</w:t>
        <w:br/>
        <w:t xml:space="preserve">        raise ValueError("Unsupported MODEL_PROVIDER")</w:t>
        <w:br/>
        <w:t xml:space="preserve">    key, model = os.getenv("MODEL_API_KEY"), os.getenv("MODEL_NAME")</w:t>
        <w:br/>
        <w:t xml:space="preserve">    if not key or not model:</w:t>
        <w:br/>
        <w:t xml:space="preserve">        raise ValueError("Live mode requires MODEL_API_KEY and MODEL_NAME")</w:t>
        <w:br/>
        <w:t xml:space="preserve">    return HTTPProvider(kind, model, key, os.getenv("MODEL_BASE_URL"),</w:t>
        <w:br/>
        <w:t xml:space="preserve">                        input_rate=float(os.getenv("MODEL_INPUT_USD_PER_MILLION", "0")),</w:t>
        <w:br/>
        <w:t xml:space="preserve">                        output_rate=float(os.getenv("MODEL_OUTPUT_USD_PER_MILLION", "0")))</w:t>
      </w:r>
    </w:p>
    <w:p>
      <w:r>
        <w:rPr>
          <w:b/>
        </w:rPr>
        <w:t xml:space="preserve">Explain the choice </w:t>
      </w:r>
      <w:r>
        <w:t>The loop can be tested without a paid API. The two HTTP adapter contract tests inspect request bodies and normalize responses with a mock HTTP transport. They do not claim that a live account or a particular model was exercised.</w:t>
      </w:r>
    </w:p>
    <w:p>
      <w:r>
        <w:rPr>
          <w:b/>
        </w:rPr>
        <w:t xml:space="preserve">ASK </w:t>
      </w:r>
      <w:r>
        <w:t>What does the adapter test prove, and what does it leave open?</w:t>
      </w:r>
    </w:p>
    <w:p>
      <w:r>
        <w:rPr>
          <w:b/>
        </w:rPr>
        <w:t xml:space="preserve">Likely answer </w:t>
      </w:r>
      <w:r>
        <w:t>It proves request and response translation for the tested shapes. Credentials, account access, provider-specific model behaviour and live latency remain to be verified.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Implement the loop and pending calls</w:t>
      </w:r>
    </w:p>
    <w:p>
      <w:r>
        <w:rPr>
          <w:b/>
        </w:rPr>
        <w:t xml:space="preserve">SAY </w:t>
      </w:r>
      <w:r>
        <w:t>Now follow one iteration with a concrete call to log_lookup for INC-001. We record the proposed tool call before executing it, dispatch the name and arguments, and attach the observation using the same call identifier. The next model request includes that observation. Pause here and ask a learner to trace the identifier from assistant message to tool message. A repeated action with identical arguments is detected within the run. Later, pending calls will also become our recovery boundary. Notice that the model never invokes Python directly: the runtime calls the supplied executor. This makes the first implementation small enough to inspect and gives us one place to add contracts and authorization in Session 02.</w:t>
      </w:r>
    </w:p>
    <w:p>
      <w:r>
        <w:rPr>
          <w:b/>
        </w:rPr>
        <w:t xml:space="preserve">SHOW </w:t>
      </w:r>
      <w:r>
        <w:t>The current learner implementation and incident/core.py. Use the following prompt to make the bounded change, then inspect the agent’s result.</w:t>
      </w:r>
    </w:p>
    <w:p>
      <w:pPr>
        <w:pStyle w:val="AgentPrompt"/>
        <w:keepLines/>
      </w:pPr>
      <w:r>
        <w:rPr>
          <w:b/>
        </w:rPr>
        <w:t xml:space="preserve">PROMPT </w:t>
      </w:r>
      <w:r>
        <w:t>For Lesson 01, continue in my learner project. Implement run_agent in incident/core.py and connect the synthetic readers in the given incident/fixtures.py. Preserve assistant tool-call IDs when appending observations, track pending calls before dispatch, and finish with a structured answer and observed evidence IDs. Use the existing provider interface. Show the complete model-to-tool-to-observation path for INC-001 and explain how the same loop can later support checkpointing.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91 to 111 at lesson-01; common indentation is reduced for display. Ask the agent to explain material differences in behaviour.</w:t>
      </w:r>
    </w:p>
    <w:p>
      <w:pPr>
        <w:pStyle w:val="Code"/>
        <w:keepLines/>
      </w:pPr>
      <w:r>
        <w:t>while run.pending:</w:t>
        <w:br/>
        <w:t xml:space="preserve">    call = run.pending[0]</w:t>
        <w:br/>
        <w:t xml:space="preserve">    key = json.dumps([call["name"], call["args"]], sort_keys=True)</w:t>
        <w:br/>
        <w:t xml:space="preserve">    if key in seen:</w:t>
        <w:br/>
        <w:t xml:space="preserve">        raise ValueError("repeated_action")</w:t>
        <w:br/>
        <w:t xml:space="preserve">    seen.add(key)</w:t>
        <w:br/>
        <w:t xml:space="preserve">    started = time.monotonic()</w:t>
        <w:br/>
        <w:t xml:space="preserve">    try:</w:t>
        <w:br/>
        <w:t xml:space="preserve">        result = await execute(call["name"], call["args"], run.context)</w:t>
        <w:br/>
        <w:t xml:space="preserve">    except ApprovalRequired:</w:t>
        <w:br/>
        <w:t xml:space="preserve">        run.status = "waiting_approval"</w:t>
        <w:br/>
        <w:t xml:space="preserve">        save()</w:t>
        <w:br/>
        <w:t xml:space="preserve">        return run</w:t>
        <w:br/>
        <w:t xml:space="preserve">    run.event("tool", name=call["name"], ok=result.get("ok", True),</w:t>
        <w:br/>
        <w:t xml:space="preserve">              elapsed_ms=(time.monotonic()-started)*1000)</w:t>
        <w:br/>
        <w:t xml:space="preserve">    run.messages.append({"role": "tool", "tool_call_id": call["id"],</w:t>
        <w:br/>
        <w:t xml:space="preserve">                         "content": json.dumps(result)})</w:t>
        <w:br/>
        <w:t xml:space="preserve">    run.pending.pop(0)</w:t>
        <w:br/>
        <w:t xml:space="preserve">    save()</w:t>
        <w:br/>
        <w:t># Reserve the requested maximum completion before dispatch.</w:t>
        <w:br/>
        <w:t>estimated_input = len(json.dumps(run.messages)) // 3</w:t>
      </w:r>
    </w:p>
    <w:p>
      <w:r>
        <w:rPr>
          <w:b/>
        </w:rPr>
        <w:t xml:space="preserve">Explain the choice </w:t>
      </w:r>
      <w:r>
        <w:t>Preserving tool-call identifiers is necessary for valid provider conversations. Recording pending work before execution is the foundation for later approval and recovery. The first lesson's simple_tools function is intentionally replaced by the validated executor in the next lesson.</w:t>
      </w:r>
    </w:p>
    <w:p>
      <w:r>
        <w:rPr>
          <w:b/>
        </w:rPr>
        <w:t xml:space="preserve">ASK </w:t>
      </w:r>
      <w:r>
        <w:t>What goes wrong if we append a tool result without its assistant tool call?</w:t>
      </w:r>
    </w:p>
    <w:p>
      <w:r>
        <w:rPr>
          <w:b/>
        </w:rPr>
        <w:t xml:space="preserve">Likely answer </w:t>
      </w:r>
      <w:r>
        <w:t>The conversation no longer contains a valid request/result pair. Providers may reject it, and the runtime loses the evidence needed to explain what happened.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Bound and verify execution</w:t>
      </w:r>
    </w:p>
    <w:p>
      <w:r>
        <w:rPr>
          <w:b/>
        </w:rPr>
        <w:t xml:space="preserve">SAY </w:t>
      </w:r>
      <w:r>
        <w:t>Run the happy path before introducing failures. The fixture requests logs, requests a runbook, and returns a final answer after three model steps. It cites log-astro-001 and rb-pool-v1. Next, run the limit tests and the repeating-provider example. Explain each failure as a controlled outcome rather than an unexplained exception. A one-step allowance prevents completion, a tiny token allowance prevents dispatch, and a deadline cancels an outstanding operation. Ask everyone to change one limit, predict the error, and then run the check. Close this section by locating the event records. We record actions and usage, and do not need access to hidden model reasoning to diagnose the loop. From Session 08, the platform console renders these same records as a run's event timeline, so keep them structured and complete.</w:t>
      </w:r>
    </w:p>
    <w:p>
      <w:r>
        <w:rPr>
          <w:b/>
        </w:rPr>
        <w:t xml:space="preserve">SHOW </w:t>
      </w:r>
      <w:r>
        <w:t>The current learner implementation and incident/core.py. Use the following prompt to make the bounded change, then inspect the agent’s result.</w:t>
      </w:r>
    </w:p>
    <w:p>
      <w:pPr>
        <w:pStyle w:val="AgentPrompt"/>
        <w:keepLines/>
      </w:pPr>
      <w:r>
        <w:rPr>
          <w:b/>
        </w:rPr>
        <w:t xml:space="preserve">PROMPT </w:t>
      </w:r>
      <w:r>
        <w:t>For Lesson 01, continue in my learner project. Review and enforce the runtime's step, token, elapsed-time and repeated-action guards. Make the Session 01 check pack pass. Demonstrate the normal cited answer and deliberately trigger each limit using offline fixtures. Explain the approximate pre-dispatch token estimate and distinguish reported usage from configured cost. Show which guard caused each failure and why the run stopped.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111 to 130 at lesson-01; common indentation is reduced for display. Ask the agent to explain material differences in behaviour.</w:t>
      </w:r>
    </w:p>
    <w:p>
      <w:pPr>
        <w:pStyle w:val="Code"/>
        <w:keepLines/>
      </w:pPr>
      <w:r>
        <w:t>estimated_input = len(json.dumps(run.messages)) // 3</w:t>
        <w:br/>
        <w:t>if run.tokens + estimated_input + limits.max_output_tokens &gt; limits.tokens:</w:t>
        <w:br/>
        <w:t xml:space="preserve">    raise ValueError("token_budget")</w:t>
        <w:br/>
        <w:t>reply = await provider.complete(run.messages, schemas,</w:t>
        <w:br/>
        <w:t xml:space="preserve">                                limits.max_output_tokens)</w:t>
        <w:br/>
        <w:t>run.steps += 1</w:t>
        <w:br/>
        <w:t>run.tokens += reply.tokens</w:t>
        <w:br/>
        <w:t>run.cost_usd += reply.cost_usd</w:t>
        <w:br/>
        <w:t>run.event("model", step=run.steps, tokens=reply.tokens,</w:t>
        <w:br/>
        <w:t xml:space="preserve">          cost_usd=reply.cost_usd)</w:t>
        <w:br/>
        <w:t>run.messages.append(reply.message)</w:t>
        <w:br/>
        <w:t>if run.tokens &gt; limits.tokens:</w:t>
        <w:br/>
        <w:t xml:space="preserve">    raise ValueError("token_budget")</w:t>
        <w:br/>
        <w:t>calls = reply.message.get("tool_calls", [])</w:t>
        <w:br/>
        <w:t>if calls:</w:t>
        <w:br/>
        <w:t xml:space="preserve">    run.pending = [{"id": c["id"], "name": c["function"]["name"],</w:t>
        <w:br/>
        <w:t xml:space="preserve">                    "args": json.loads(c["function"]["arguments"])}</w:t>
        <w:br/>
        <w:t xml:space="preserve">                   for c in calls]</w:t>
        <w:br/>
        <w:t xml:space="preserve">    save()</w:t>
        <w:br/>
        <w:t xml:space="preserve">    continue</w:t>
      </w:r>
    </w:p>
    <w:p>
      <w:r>
        <w:rPr>
          <w:b/>
        </w:rPr>
        <w:t xml:space="preserve">Explain the choice </w:t>
      </w:r>
      <w:r>
        <w:t>The fixture makes stop conditions reproducible. Costs are computed only from explicitly configured rates; zero configured pricing is not evidence that a live provider is free. Later lessons add stronger final-answer validation and structured tracing.</w:t>
      </w:r>
    </w:p>
    <w:p>
      <w:r>
        <w:rPr>
          <w:b/>
        </w:rPr>
        <w:t xml:space="preserve">ASK </w:t>
      </w:r>
      <w:r>
        <w:t>Does a completed run necessarily mean the incident was solved?</w:t>
      </w:r>
    </w:p>
    <w:p>
      <w:r>
        <w:rPr>
          <w:b/>
        </w:rPr>
        <w:t xml:space="preserve">Likely answer </w:t>
      </w:r>
      <w:r>
        <w:t>No. Execution can finish with an insufficient_evidence answer. Evaluation must distinguish successful execution from a supported task outcome.</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01 learner exercise in my existing project: Change Limits in a small local invocation to allow one step, then a tiny token budget, then a short deadline with a slow MockProvider. Predict and observe step_budget, token_budget and TimeoutError. Restore the normal limits and verify the cited happy-path answer.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01 implementation against its completion criteria. Update the checkpoint indicator in incident/__init__.py to 1 only when the required capability is present. Run the Lesson 01 check pack, which includes tests/test_lesson01.py and the Session 01 demonstration, and the full regression suite, all unchanged and using the offline provider.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"capability": "bounded ReAct loop",</w:t>
        <w:br/>
        <w:t xml:space="preserve">  "answer": {</w:t>
        <w:br/>
        <w:t xml:space="preserve">    "status": "complete",</w:t>
        <w:br/>
        <w:t xml:space="preserve">    "cause": "connection_pool_exhaustion",</w:t>
        <w:br/>
        <w:t xml:space="preserve">    "summary": "INC-001: connection_pool_exhaustion",</w:t>
        <w:br/>
        <w:t xml:space="preserve">    "evidence": [</w:t>
        <w:br/>
        <w:t xml:space="preserve">      "log-astro-001",</w:t>
        <w:br/>
        <w:t xml:space="preserve">      "rb-pool-v1"</w:t>
        <w:br/>
        <w:t xml:space="preserve">    ]</w:t>
        <w:br/>
        <w:t xml:space="preserve">  },</w:t>
        <w:br/>
        <w:t xml:space="preserve">  "model_steps": 3,</w:t>
        <w:br/>
        <w:t xml:space="preserve">  "repeated_action": "repeated_action"</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INC-001 finishes with connection_pool_exhaustion and observed source IDs.</w:t>
      </w:r>
    </w:p>
    <w:p>
      <w:pPr>
        <w:pStyle w:val="ListBullet"/>
      </w:pPr>
      <w:r>
        <w:t>The repeating provider stops with repeated_action.</w:t>
      </w:r>
    </w:p>
    <w:p>
      <w:pPr>
        <w:pStyle w:val="ListBullet"/>
      </w:pPr>
      <w:r>
        <w:t>Step, token and elapsed-time limits produce the expected failures.</w:t>
      </w:r>
    </w:p>
    <w:p>
      <w:pPr>
        <w:pStyle w:val="ListBullet"/>
      </w:pPr>
      <w:r>
        <w:t>Both live-provider request-shape tests pass without using real credentials.</w:t>
      </w:r>
    </w:p>
    <w:p>
      <w:r>
        <w:t>The independently unpacked lesson-01 checkpoint passed its full test suite and this lesson demo, and so does the Lesson 01 check pack from the course kit. Recorded test result: 7 passed in 0.25s. Learners commit and push their checkpoint to their GitLab repository; lesson-01 (7133fdc)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01 check pack. Ask the agent to explain any additional file changes it needs.</w:t>
      </w:r>
    </w:p>
    <w:p>
      <w:pPr>
        <w:pStyle w:val="ListBullet"/>
      </w:pPr>
      <w:r>
        <w:t>incident/__init__.py</w:t>
      </w:r>
    </w:p>
    <w:p>
      <w:pPr>
        <w:pStyle w:val="ListBullet"/>
      </w:pPr>
      <w:r>
        <w:t>incident/core.py</w:t>
      </w:r>
    </w:p>
    <w:p>
      <w:pPr>
        <w:pStyle w:val="ListBullet"/>
      </w:pPr>
      <w:r>
        <w:t>incident/fixtures.py</w:t>
      </w:r>
    </w:p>
    <w:p>
      <w:pPr>
        <w:pStyle w:val="ListBullet"/>
      </w:pPr>
      <w:r>
        <w:t>incident/labs/l01.py</w:t>
      </w:r>
    </w:p>
    <w:p>
      <w:pPr>
        <w:pStyle w:val="ListBullet"/>
      </w:pPr>
      <w:r>
        <w:t>incident/providers.py</w:t>
      </w:r>
    </w:p>
    <w:p>
      <w:pPr>
        <w:pStyle w:val="ListBullet"/>
      </w:pPr>
      <w:r>
        <w:t>tests/test_lesson01.py</w:t>
      </w:r>
    </w:p>
    <w:p>
      <w:pPr>
        <w:pStyle w:val="AgentPrompt"/>
        <w:keepLines/>
      </w:pPr>
      <w:r>
        <w:rPr>
          <w:b/>
        </w:rPr>
        <w:t xml:space="preserve">PROMPT </w:t>
      </w:r>
      <w:r>
        <w:t>Review my completed Lesson 01 work against the Lesson 01 check pack and completion criteria. Show the files I changed and the interfaces I provide, and explain how each completion criterion is met with code or test evidence. Point out where my design makes a different choice from the one the lesson presents, and what that choice costs or gains. Preserve deliberate improvements and earlier capabilities.</w:t>
      </w:r>
    </w:p>
    <w:p>
      <w:pPr>
        <w:pStyle w:val="Heading1"/>
      </w:pPr>
      <w:r>
        <w:t>Demo troubleshooting</w:t>
      </w:r>
    </w:p>
    <w:p>
      <w:pPr>
        <w:pStyle w:val="Heading2"/>
      </w:pPr>
      <w:r>
        <w:t>Live mode fails before a request</w:t>
      </w:r>
    </w:p>
    <w:p>
      <w:pPr>
        <w:pStyle w:val="AgentPrompt"/>
      </w:pPr>
      <w:r>
        <w:rPr>
          <w:b/>
        </w:rPr>
        <w:t xml:space="preserve">PROMPT </w:t>
      </w:r>
      <w:r>
        <w:t>I am working on Lesson 01. The symptom is: Live mode fails before a request. Diagnostic focus: Check MODEL_PROVIDER, MODEL_NAME and whether MODEL_API_KEY is set. Do not print the key. Recovery guidance: Switch to MODEL_PROVIDER=mock and rerun the demo. Configure the live adapter separately after class. Reproduce the issue, make the smallest necessary correction and rerun affected checks. Report the cause, changed files and observed outcome. Preserve security controls and acceptance criteria.</w:t>
      </w:r>
    </w:p>
    <w:p>
      <w:pPr>
        <w:pStyle w:val="Heading2"/>
      </w:pPr>
      <w:r>
        <w:t>The final message cannot be parsed</w:t>
      </w:r>
    </w:p>
    <w:p>
      <w:pPr>
        <w:pStyle w:val="AgentPrompt"/>
      </w:pPr>
      <w:r>
        <w:rPr>
          <w:b/>
        </w:rPr>
        <w:t xml:space="preserve">PROMPT </w:t>
      </w:r>
      <w:r>
        <w:t>I am working on Lesson 01. The symptom is: The final message cannot be parsed. Diagnostic focus: The runtime expects a JSON answer with status, cause, summary and evidence. Recovery guidance: Inspect the normalized message in a debugger and compare it with MockProvider. Keep malformed-output tests separate from tool transport problems. Reproduce the issue, make the smallest necessary correction and rerun affected checks. Report the cause, changed files and observed outcome. Preserve security controls and acceptance criteria.</w:t>
      </w:r>
    </w:p>
    <w:p>
      <w:pPr>
        <w:pStyle w:val="Heading2"/>
      </w:pPr>
      <w:r>
        <w:t>The lesson command says the checkpoint is too early</w:t>
      </w:r>
    </w:p>
    <w:p>
      <w:pPr>
        <w:pStyle w:val="AgentPrompt"/>
      </w:pPr>
      <w:r>
        <w:rPr>
          <w:b/>
        </w:rPr>
        <w:t xml:space="preserve">PROMPT </w:t>
      </w:r>
      <w:r>
        <w:t>I am working on Lesson 01. The symptom is: The lesson command says the checkpoint is too early. Diagnostic focus: incident/__init__.py still identifies the starting checkpoint. Recovery guidance: After completing the lesson changes, set LESSON to 1. If you are a lesson behind, ask your instructor for a catch-up checkpoint. Reproduce the issue, make the smallest necessary correction and rerun affected checks. Report the cause, changed files and observed outcome. Preserve security controls and acceptance criteria.</w:t>
      </w:r>
    </w:p>
    <w:p>
      <w:pPr>
        <w:pStyle w:val="Heading2"/>
      </w:pPr>
      <w:r>
        <w:t>A native Python package cannot load on macOS</w:t>
      </w:r>
    </w:p>
    <w:p>
      <w:pPr>
        <w:pStyle w:val="AgentPrompt"/>
      </w:pPr>
      <w:r>
        <w:rPr>
          <w:b/>
        </w:rPr>
        <w:t xml:space="preserve">PROMPT </w:t>
      </w:r>
      <w:r>
        <w:t>I am working on Lesson 01. The symptom is: A native Python package cannot load on macOS. Diagnostic focus: A binary-wheel or local interpreter compatibility issue can occur before the course code runs. Recovery guidance: Use a compatible Python 3.12 installation or the tested Docker route described in the repository. Do not disable operating-system security protections.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Add a missing-incident acceptance scenario and explain what a supported insufficient-evidence response should look like.</w:t>
      </w:r>
    </w:p>
    <w:p>
      <w:pPr>
        <w:pStyle w:val="ListBullet"/>
      </w:pPr>
      <w:r>
        <w:t>Write INC-001's investigation as a hard-coded sequence and run it and the agent loop on all three tickets. Note where the sequence gives a wrong or unsupported answer, and compare step counts and stop reasons.</w:t>
      </w:r>
    </w:p>
    <w:p>
      <w:pPr>
        <w:pStyle w:val="ListBullet"/>
      </w:pPr>
      <w:r>
        <w:t>Redraw the platform blueprint in your own notes and mark the box today's checkpoint fills. For each later console view, note whether today's event log already records the data it needs.</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You now own the loop that every later agent will use: the centre box of the platform you drew today. After class, repeat today's prompts in your own project, starting with the setup prompt, and push your checkpoint to your GitLab repository. Be ready to explain how one action moves from model proposal to tool observation. Keep your blueprint; we will add a component to it in most sessions, and from Session 08 the console will render these same run events. In the next session we make that tool boundary reliable and connect the same capabilities through MCP.</w:t>
      </w:r>
    </w:p>
    <w:p>
      <w:pPr>
        <w:pStyle w:val="Heading1"/>
      </w:pPr>
      <w:r>
        <w:t>References and further study</w:t>
      </w:r>
    </w:p>
    <w:p>
      <w:pPr>
        <w:pStyle w:val="ListBullet"/>
      </w:pPr>
      <w:hyperlink r:id="rId11">
        <w:r>
          <w:rPr>
            <w:color w:val="1155CC"/>
            <w:u w:val="single"/>
          </w:rPr>
          <w:t>Building effective agents</w:t>
        </w:r>
      </w:hyperlink>
    </w:p>
    <w:p>
      <w:pPr>
        <w:pStyle w:val="ListBullet"/>
      </w:pPr>
      <w:hyperlink r:id="rId12">
        <w:r>
          <w:rPr>
            <w:color w:val="1155CC"/>
            <w:u w:val="single"/>
          </w:rPr>
          <w:t>ReAct paper</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01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building-effective-agents" TargetMode="External"/><Relationship Id="rId12" Type="http://schemas.openxmlformats.org/officeDocument/2006/relationships/hyperlink" Target="https://arxiv.org/abs/2210.0362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01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