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w:t>
      </w:r>
    </w:p>
    <w:p>
      <w:r>
        <w:t>Duration: 120 minutes. Starting checkpoint: lesson-01. Ending checkpoint: lesson-02 (0f5108e).</w:t>
      </w:r>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02, starting from lesson-01.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lesson-01 and prepare a read-only view of lesson-02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Python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Implement ToolExecutor in incident/tools.py.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server in incident/mcp_bridge.py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make_server(tenant="acme"):</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Use the real local stdio transport and the pinned SDK's result shapes. Complete the Session 02 lab and contract tests, show the negotiated protocol and discovered tools, and run the same investigation through the adapter. Confirm that transport discovery does not grant new permissions and show the unchanged cited outcome. Use lesson-02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incident/__init__.py to 2 only when the required capability is present. Run tests/test_lesson02.py, the Session 02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"log-acme-001",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r>
        <w:t>The independently unpacked lesson-02 checkpoint passed its full test suite and this lesson demo. Recorded test result: 10 passed in 1.96s. Have your coding agent save a recoverable learner checkpoint and retain the comparison with lesson-02 (0f5108e).</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incident/labs/l02.py</w:t>
      </w:r>
    </w:p>
    <w:p>
      <w:pPr>
        <w:pStyle w:val="ListBullet"/>
      </w:pPr>
      <w:r>
        <w:t>incident/mcp_bridge.py</w:t>
      </w:r>
    </w:p>
    <w:p>
      <w:pPr>
        <w:pStyle w:val="ListBullet"/>
      </w:pPr>
      <w:r>
        <w:t>incident/tools.py</w:t>
      </w:r>
    </w:p>
    <w:p>
      <w:pPr>
        <w:pStyle w:val="ListBullet"/>
      </w:pPr>
      <w:r>
        <w:t>tests/test_lesson02.py</w:t>
      </w:r>
    </w:p>
    <w:p>
      <w:pPr>
        <w:pStyle w:val="AgentPrompt"/>
        <w:keepLines/>
      </w:pPr>
      <w:r>
        <w:rPr>
          <w:b/>
        </w:rPr>
        <w:t xml:space="preserve">PROMPT </w:t>
      </w:r>
      <w:r>
        <w:t>Compare my completed Lesson 02 work with reference lesson-02.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39 passing tests. Real local MCP stdio and A2A HTTP discovery, streaming, authentication rejection and cancellation were exercised. The final packaged Linux ARM64 image also passed the end-to-end and capstone demos with restricted container settings.</w:t>
      </w:r>
    </w:p>
    <w:p>
      <w:r>
        <w:t>Live model credentials, paid provider calls, live model judging, third-party MCP or A2A services, remote MCP OAuth, enterprise identity,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