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(3ea553c).</w:t>
      </w:r>
    </w:p>
    <w:p>
      <w:pPr>
        <w:pStyle w:val="Heading1"/>
      </w:pPr>
      <w:r>
        <w:t>Preparation</w:t>
      </w:r>
    </w:p>
    <w:p>
      <w:r>
        <w:t>Bring your Session 02 checkpoint. Refresh retrieval and embeddings from 2025. Review context engineering and the distinction between session state and long-term memory stores.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03, starting from lesson-02.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lesson-02 and prepare a read-only view of lesson-03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Acme and Globex.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Acme and Globex. Keep the tool contract compatible with the existing executor and explain the returned evidence.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complete the Session 03 lab and tests.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Acme and Globex,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tests/test_lesson03.py, the Session 03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"log-acme-001",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Recorded test result: 13 passed in 1.03s. Have your coding agent save a recoverable learner checkpoint and retain the comparison with lesson-03 (3ea553c).</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Compare my completed Lesson 03 work with reference lesson-03.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