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a calibrated-judge workflow.</w:t>
      </w:r>
    </w:p>
    <w:p>
      <w:r>
        <w:t>Duration: 90 minutes. Starting checkpoint: lesson-03. Ending checkpoint: lesson-04 (585a04a).</w:t>
      </w:r>
    </w:p>
    <w:p>
      <w:pPr>
        <w:pStyle w:val="Heading1"/>
      </w:pPr>
      <w:r>
        <w:t>Preparation</w:t>
      </w:r>
    </w:p>
    <w:p>
      <w:r>
        <w:t>Bring your Session 03 checkpoint, acceptance scenarios and recorded runs. Read the evaluation reference and tool-evaluation guidance.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04, starting from lesson-03.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lesson-03 and prepare a read-only view of lesson-04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Python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Create the versioned evaluation cases in incident/evaluate.py. Cover supported diagnoses, missing evidence, ambiguity and another tenant, with explicit expected outcomes and development versus held-out partitions. Preserve the supplied acceptance scenarios and record dataset identity. Explain each case before running the agent. Do not change expected answers simply to make the current implementation pass.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"acme", "incident": "INC-001", "cause": "connection_pool_exhaustion", "split": "development"},</w:t>
        <w:br/>
        <w:t xml:space="preserve">    {"id": "clock", "tenant": "acme", "incident": "INC-002", "cause": "clock_skew", "split": "development"},</w:t>
        <w:br/>
        <w:t xml:space="preserve">    {"id": "missing", "tenant": "acme", "incident": "INC-404", "cause": "unknown", "split": "development"},</w:t>
        <w:br/>
        <w:t xml:space="preserve">    {"id": "ambiguous", "tenant": "acme", "incident": "INC-003", "cause": "unknown", "split": "held_out"},</w:t>
        <w:br/>
        <w:t xml:space="preserve">    {"id": "other_tenant", "tenant": "globex",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and make the smallest required correction in incident/providers.py so a generic runbook does not become proof of an incident cause. Preserve the original test expectations and show the regression evidence.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Complete the Session 04 lab and tests using offline calibration examples. Explain what is verified locally and what would still require a calibrated live judge and authorized provider access.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tests/test_lesson04.py, the Session 04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"90d1f50a6663c9e7ec24a2d3951b0238d92114eefc8797c5317a42c428ddbc3f",</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Recorded test result: 15 passed in 1.08s. Have your coding agent save a recoverable learner checkpoint and retain the comparison with lesson-04 (585a04a).</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Compare my completed Lesson 04 work with reference lesson-04.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39 passing tests. Real local MCP stdio and A2A HTTP discovery, streaming, authentication rejection and cancellation were exercised. The final packaged Linux ARM64 image also passed the end-to-end and capstone demos with restricted container settings.</w:t>
      </w:r>
    </w:p>
    <w:p>
      <w:r>
        <w:t>Live model credentials, paid provider calls, live model judging, third-party MCP or A2A services, remote MCP OAuth, enterprise identity,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