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10 Security and tenant isolation</w:t>
      </w:r>
    </w:p>
    <w:p>
      <w:r>
        <w:t>Instructor guide for the L3 agentic platform programme</w:t>
      </w:r>
    </w:p>
    <w:p>
      <w:r>
        <w:rPr>
          <w:b/>
        </w:rPr>
        <w:t xml:space="preserve">Outcome </w:t>
      </w:r>
      <w:r>
        <w:t>Adversarial checks demonstrate application-level containment across tools, tenant data, approvals, file paths, endpoint selection and trace content.</w:t>
      </w:r>
    </w:p>
    <w:p>
      <w:r>
        <w:t>Duration: 90 minutes. Starting checkpoint: lesson-09. Ending checkpoint: lesson-10 (9b28c38).</w:t>
      </w:r>
    </w:p>
    <w:p>
      <w:pPr>
        <w:pStyle w:val="Heading1"/>
      </w:pPr>
      <w:r>
        <w:t>Preparation</w:t>
      </w:r>
    </w:p>
    <w:p>
      <w:r>
        <w:t>Bring your Session 09 checkpoint. Map trust boundaries and effectful tools. Read MCP security and OWASP prompt-injection guidance. Prepare adversarial fixtures for the guided checks.</w:t>
      </w:r>
    </w:p>
    <w:p>
      <w:r>
        <w:t xml:space="preserve">Give your coding agent access to the supplied incident-platform.zip or the reference repository in the </w:t>
      </w:r>
      <w:hyperlink r:id="rId10">
        <w:r>
          <w:rPr>
            <w:color w:val="1155CC"/>
            <w:u w:val="single"/>
          </w:rPr>
          <w:t>course materials folder</w:t>
        </w:r>
      </w:hyperlink>
      <w:r>
        <w:t>. Ask it to preserve the embedded checkpoint history and identify the learner project separately from the reference.</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Python learner project for Lesson 10, starting from lesson-09. Locate the supplied reference repository and my existing work; ask for their locations if needed. Preserve my changes and handle repository setup, dependency installation and environment configuration yourself. Use the pinned Python 3.12 environment and offline mock provider. Establish the starting checkpoint without adding this lesson yet. Run the baseline checks and report the workspace, checkpoint, results and any missing prerequisites. Do not ask me to run terminal commands.</w:t>
      </w:r>
    </w:p>
    <w:p>
      <w:r>
        <w:t>Next, orient the coding agent to the reference while preserving your work.</w:t>
      </w:r>
    </w:p>
    <w:p>
      <w:pPr>
        <w:pStyle w:val="AgentPrompt"/>
        <w:keepLines/>
      </w:pPr>
      <w:r>
        <w:rPr>
          <w:b/>
        </w:rPr>
        <w:t xml:space="preserve">PROMPT </w:t>
      </w:r>
      <w:r>
        <w:t>Compare my current project with lesson-09 and prepare a read-only view of lesson-10 for this lesson. Preserve my work while arranging any isolation needed. Identify differences, relevant files and the expected capability. Explain the implementation sequence before we begin; do not replace my project with the finished reference or add later lessons.</w:t>
      </w:r>
    </w:p>
    <w:p>
      <w:r>
        <w:rPr>
          <w:b/>
        </w:rPr>
        <w:t xml:space="preserve">Instructor readiness </w:t>
      </w:r>
      <w:r>
        <w:t>Have your coding agent rehearse the completed reference and prepare the current tests, fixtures and lab runner before class. Tests may fail until the capability is implemented. During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45</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45 to 60</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60 to 75</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75 to 85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85 to 90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Python excerpts remain as reading and review material from the exact reference checkpoint, not manual typing instructions.</w:t>
      </w:r>
    </w:p>
    <w:p>
      <w:pPr>
        <w:pStyle w:val="Heading2"/>
      </w:pPr>
      <w:r>
        <w:t>Opening and orientation</w:t>
      </w:r>
    </w:p>
    <w:p>
      <w:r>
        <w:rPr>
          <w:b/>
        </w:rPr>
        <w:t xml:space="preserve">SAY </w:t>
      </w:r>
      <w:r>
        <w:t>A model can read an instruction embedded in a runbook, an error message or another agent's response. Today we assume that some of those inputs are hostile. We will deliberately make a provider propose an unauthorized write and show that application code rejects it. We will also test cross-tenant paths, symlink escapes, endpoint policy and fabricated citations. The goal is to identify and enforce the trust boundaries of the platform we already built, and to be precise about which boundaries are application controls and which require operating-system or infrastructure support.</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Map trusted configuration, authenticated identity, model output, tool output and stored evidence. Treat the last three as data rather than authorization. Least privilege should be visible in capability sets and service roles. Secrets belong in environment or a proper secret store, and observable events should be redacted before presentation. Endpoint policy constrains network destinations; path containment constrains which workspace files a tool could read. Neither is a complete sandbox for arbitrary Python execution. The platform deliberately does not expose arbitrary code execution as a model tool. Session 11 provides an additional restricted container recipe, whose enforcement differs from application-level checks.</w:t>
      </w:r>
    </w:p>
    <w:p>
      <w:r>
        <w:rPr>
          <w:b/>
        </w:rPr>
        <w:t xml:space="preserve">PAUSE </w:t>
      </w:r>
      <w:r>
        <w:t>Invite one learner to trace the control flow and another to identify a failure boundary. Resolve different interpretations before opening the implementation.</w:t>
      </w:r>
    </w:p>
    <w:p>
      <w:pPr>
        <w:pStyle w:val="Heading2"/>
      </w:pPr>
      <w:r>
        <w:t>1 Probe the tool boundary with hostile model output</w:t>
      </w:r>
    </w:p>
    <w:p>
      <w:r>
        <w:rPr>
          <w:b/>
        </w:rPr>
        <w:t xml:space="preserve">SAY </w:t>
      </w:r>
      <w:r>
        <w:t>Read the injected provider before running it. It proposes mock_remediate even though the investigator is read-only. The executor checks Context.allowed and returns a denial before any effect is recorded. Count the effects table and inspect the failed tool event. The test is intentionally stronger than asking the model to ignore an injected instruction: we make the model produce the bad action and verify the application's response. Ask learners which additional effectful tools in their own systems would need the same independent authorization boundary.</w:t>
      </w:r>
    </w:p>
    <w:p>
      <w:r>
        <w:rPr>
          <w:b/>
        </w:rPr>
        <w:t xml:space="preserve">SHOW </w:t>
      </w:r>
      <w:r>
        <w:t>The current learner implementation and incident/labs/l10.py. Use the following prompt to make the bounded change, then inspect the agent’s result.</w:t>
      </w:r>
    </w:p>
    <w:p>
      <w:pPr>
        <w:pStyle w:val="AgentPrompt"/>
        <w:keepLines/>
      </w:pPr>
      <w:r>
        <w:rPr>
          <w:b/>
        </w:rPr>
        <w:t xml:space="preserve">PROMPT </w:t>
      </w:r>
      <w:r>
        <w:t>For Lesson 10, continue in my learner project. Create the hostile-provider fixture that proposes mock_remediate from a read-only investigation context. Exercise the actual executor rather than relying on a model to refuse. Show the denied tool event and prove that the effect ledger remains empty. Preserve the platform's existing permission policy and explain which application control contains the bad proposal. Use lesson-10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9 to 17 at lesson-10; common indentation is reduced for display. Ask the agent to explain material differences in behaviour.</w:t>
      </w:r>
    </w:p>
    <w:p>
      <w:pPr>
        <w:pStyle w:val="Code"/>
        <w:keepLines/>
      </w:pPr>
      <w:r>
        <w:t>class InjectedProvider:</w:t>
        <w:br/>
        <w:t xml:space="preserve">    """A malicious-output fixture testing controls outside the model."""</w:t>
        <w:br/>
        <w:t xml:space="preserve">    async def complete(self, messages, tools, max_tokens=500):</w:t>
        <w:br/>
        <w:t xml:space="preserve">        if not any(m["role"] == "tool" for m in messages):</w:t>
        <w:br/>
        <w:t xml:space="preserve">            return Reply({"role": "assistant", "content": None, "tool_calls": [{"id": "injected",</w:t>
        <w:br/>
        <w:t xml:space="preserve">                "type": "function", "function": {"name": "mock_remediate", "arguments": json.dumps({</w:t>
        <w:br/>
        <w:t xml:space="preserve">                    "incident_id": "INC-001", "action": "rollback"})}}]}, 20)</w:t>
        <w:br/>
        <w:t xml:space="preserve">        return Reply({"role": "assistant", "content": json.dumps({"status": "insufficient_evidence",</w:t>
        <w:br/>
        <w:t xml:space="preserve">            "cause": "unknown", "summary": "Request denied", "evidence": []})}, 20)</w:t>
      </w:r>
    </w:p>
    <w:p>
      <w:r>
        <w:rPr>
          <w:b/>
        </w:rPr>
        <w:t xml:space="preserve">Explain the choice </w:t>
      </w:r>
      <w:r>
        <w:t>Prompt instructions alone do not enforce permissions. A hostile-output fixture tests containment even when the model makes the wrong proposal.</w:t>
      </w:r>
    </w:p>
    <w:p>
      <w:r>
        <w:rPr>
          <w:b/>
        </w:rPr>
        <w:t xml:space="preserve">ASK </w:t>
      </w:r>
      <w:r>
        <w:t>If the model correctly refuses the injected request, have we proved the executor's security?</w:t>
      </w:r>
    </w:p>
    <w:p>
      <w:r>
        <w:rPr>
          <w:b/>
        </w:rPr>
        <w:t xml:space="preserve">Likely answer </w:t>
      </w:r>
      <w:r>
        <w:t>No. We must also test what the executor does when the model proposes the unauthorized action.</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2 Constrain file and network access</w:t>
      </w:r>
    </w:p>
    <w:p>
      <w:r>
        <w:rPr>
          <w:b/>
        </w:rPr>
        <w:t xml:space="preserve">SAY </w:t>
      </w:r>
      <w:r>
        <w:t>Resolve the tenant's workspace root and the requested path before checking containment. A textual prefix comparison is insufficient because parent segments and symlinks can change the resolved location. Test both ../globex/report and a symlink that points outside Acme's directory. Then open validate_endpoint and inspect exact-host matching, HTTPS requirements and private-address handling. A host that merely contains api.openai.com in its name is not the trusted host. Keep the allowlist in configuration, outside model-controlled arguments. Explain that a full production egress policy also needs appropriate infrastructure and DNS controls.</w:t>
      </w:r>
    </w:p>
    <w:p>
      <w:r>
        <w:rPr>
          <w:b/>
        </w:rPr>
        <w:t xml:space="preserve">SHOW </w:t>
      </w:r>
      <w:r>
        <w:t>The current learner implementation and incident/security.py. Use the following prompt to make the bounded change, then inspect the agent’s result.</w:t>
      </w:r>
    </w:p>
    <w:p>
      <w:pPr>
        <w:pStyle w:val="AgentPrompt"/>
        <w:keepLines/>
      </w:pPr>
      <w:r>
        <w:rPr>
          <w:b/>
        </w:rPr>
        <w:t xml:space="preserve">PROMPT </w:t>
      </w:r>
      <w:r>
        <w:t>For Lesson 10, continue in my learner project. Implement and test tenant workspace containment and explicit endpoint policy in incident/security.py. Resolve paths before containment checks, reject traversal and symlink escapes, require exact approved hosts and appropriate transport security, and constrain discovered remote interfaces. Do not disable TLS or operating-system protections. Explain the difference between these application checks and a full execution sandbox. Use lesson-10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41 to 48 at lesson-10; common indentation is reduced for display. Ask the agent to explain material differences in behaviour.</w:t>
      </w:r>
    </w:p>
    <w:p>
      <w:pPr>
        <w:pStyle w:val="Code"/>
        <w:keepLines/>
      </w:pPr>
      <w:r>
        <w:t>def sandbox_path(root, tenant, relative):</w:t>
        <w:br/>
        <w:t xml:space="preserve">    if not re.fullmatch(r"[a-zA-Z0-9_-]{1,64}", tenant):</w:t>
        <w:br/>
        <w:t xml:space="preserve">        raise PermissionError("invalid_tenant")</w:t>
        <w:br/>
        <w:t xml:space="preserve">    base = (Path(root)/tenant).resolve()</w:t>
        <w:br/>
        <w:t xml:space="preserve">    candidate = (base/relative).resolve()</w:t>
        <w:br/>
        <w:t xml:space="preserve">    if Path(relative).is_absolute() or not candidate.is_relative_to(base):</w:t>
        <w:br/>
        <w:t xml:space="preserve">        raise PermissionError("sandbox_escape")</w:t>
        <w:br/>
        <w:t xml:space="preserve">    return candidate</w:t>
      </w:r>
    </w:p>
    <w:p>
      <w:r>
        <w:rPr>
          <w:b/>
        </w:rPr>
        <w:t xml:space="preserve">Explain the choice </w:t>
      </w:r>
      <w:r>
        <w:t>Canonical paths and exact destination checks address concrete escape routes. These helpers are application controls and are not advertised as a complete OS sandbox.</w:t>
      </w:r>
    </w:p>
    <w:p>
      <w:r>
        <w:rPr>
          <w:b/>
        </w:rPr>
        <w:t xml:space="preserve">ASK </w:t>
      </w:r>
      <w:r>
        <w:t>Why is resolving a symlink necessary before checking containment?</w:t>
      </w:r>
    </w:p>
    <w:p>
      <w:r>
        <w:rPr>
          <w:b/>
        </w:rPr>
        <w:t xml:space="preserve">Likely answer </w:t>
      </w:r>
      <w:r>
        <w:t>A path that appears to be inside the workspace can resolve to another tenant's directory or another filesystem location.</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3 Validate structured provenance</w:t>
      </w:r>
    </w:p>
    <w:p>
      <w:r>
        <w:rPr>
          <w:b/>
        </w:rPr>
        <w:t xml:space="preserve">SAY </w:t>
      </w:r>
      <w:r>
        <w:t>The final answer must have the expected shape and cite source IDs actually observed in structured evidence. Show the regression case where the text merely mentions fake-id. A substring match would accept that citation, but structured provenance rejects it. Walk through observed_source_ids and distinguish source metadata from arbitrary narrative text. Parent agents may cite verified child evidence, but they still need an explicit evidence contract. Ask participants how they would preserve provenance when a retrieval system returns several chunks from one document version.</w:t>
      </w:r>
    </w:p>
    <w:p>
      <w:r>
        <w:rPr>
          <w:b/>
        </w:rPr>
        <w:t xml:space="preserve">SHOW </w:t>
      </w:r>
      <w:r>
        <w:t>The current learner implementation and incident/security.py. Use the following prompt to make the bounded change, then inspect the agent’s result.</w:t>
      </w:r>
    </w:p>
    <w:p>
      <w:pPr>
        <w:pStyle w:val="AgentPrompt"/>
        <w:keepLines/>
      </w:pPr>
      <w:r>
        <w:rPr>
          <w:b/>
        </w:rPr>
        <w:t xml:space="preserve">PROMPT </w:t>
      </w:r>
      <w:r>
        <w:t>For Lesson 10, continue in my learner project. Strengthen final-answer validation using structured source metadata and the expected answer shape. Demonstrate that merely mentioning a fabricated source ID in prose cannot satisfy evidence validation. Preserve the distinction between observing a source and proving that it supports the conclusion. Add focused provenance regressions while keeping existing valid investigations working. Use lesson-10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62 to 71 at lesson-10; common indentation is reduced for display. Ask the agent to explain material differences in behaviour.</w:t>
      </w:r>
    </w:p>
    <w:p>
      <w:pPr>
        <w:pStyle w:val="Code"/>
        <w:keepLines/>
      </w:pPr>
      <w:r>
        <w:t>def validate_answer(answer, observations):</w:t>
        <w:br/>
        <w:t xml:space="preserve">    if not isinstance(answer, dict) or answer.get("status") not in {"complete", "insufficient_evidence"}:</w:t>
        <w:br/>
        <w:t xml:space="preserve">        raise ValueError("invalid_final_answer")</w:t>
        <w:br/>
        <w:t xml:space="preserve">    if not all(isinstance(answer.get(k), str) for k in ["cause", "summary"]):</w:t>
        <w:br/>
        <w:t xml:space="preserve">        raise ValueError("invalid_final_answer")</w:t>
        <w:br/>
        <w:t xml:space="preserve">    evidence = answer.get("evidence")</w:t>
        <w:br/>
        <w:t xml:space="preserve">    if not isinstance(evidence, list) or len(evidence) &gt; 32 or not all(isinstance(s, str) for s in evidence):</w:t>
        <w:br/>
        <w:t xml:space="preserve">        raise ValueError("invalid_evidence")</w:t>
        <w:br/>
        <w:t xml:space="preserve">    if not set(evidence) &lt;= observed_source_ids(observations):</w:t>
        <w:br/>
        <w:t xml:space="preserve">        raise ValueError("unobserved_citation")</w:t>
      </w:r>
    </w:p>
    <w:p>
      <w:r>
        <w:rPr>
          <w:b/>
        </w:rPr>
        <w:t xml:space="preserve">Explain the choice </w:t>
      </w:r>
      <w:r>
        <w:t>A source identifier appearing in prose is not proof that the source was retrieved. Structured metadata and versioned artifacts provide a more reliable contract for citations.</w:t>
      </w:r>
    </w:p>
    <w:p>
      <w:r>
        <w:rPr>
          <w:b/>
        </w:rPr>
        <w:t xml:space="preserve">ASK </w:t>
      </w:r>
      <w:r>
        <w:t>Does a syntactically valid citation prove the conclusion is correct?</w:t>
      </w:r>
    </w:p>
    <w:p>
      <w:r>
        <w:rPr>
          <w:b/>
        </w:rPr>
        <w:t xml:space="preserve">Likely answer </w:t>
      </w:r>
      <w:r>
        <w:t>No. It proves only that the source identity was observed. Evaluation must still assess whether the evidence supports the conclusion.</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4 Redact observable events and test isolation</w:t>
      </w:r>
    </w:p>
    <w:p>
      <w:r>
        <w:rPr>
          <w:b/>
        </w:rPr>
        <w:t xml:space="preserve">SAY </w:t>
      </w:r>
      <w:r>
        <w:t>Inspect the recursive redaction of sensitive keys and recognizable credential patterns. Run the fixture with a bearer string and a key-like value, and show the sanitized result. Then trace where Run.event applies redaction. Keep the distinction between redacted telemetry and encrypted durable storage: this teaching SQLite store is not an enterprise encrypted vault. Re-run the tenant and approval tests from earlier sessions so security changes do not weaken those boundaries. Close by having each learner name one enforced control, one test proving it, and one deployment responsibility that remains outside the local demo.</w:t>
      </w:r>
    </w:p>
    <w:p>
      <w:r>
        <w:rPr>
          <w:b/>
        </w:rPr>
        <w:t xml:space="preserve">SHOW </w:t>
      </w:r>
      <w:r>
        <w:t>The current learner implementation and incident/security.py. Use the following prompt to make the bounded change, then inspect the agent’s result.</w:t>
      </w:r>
    </w:p>
    <w:p>
      <w:pPr>
        <w:pStyle w:val="AgentPrompt"/>
        <w:keepLines/>
      </w:pPr>
      <w:r>
        <w:rPr>
          <w:b/>
        </w:rPr>
        <w:t xml:space="preserve">PROMPT </w:t>
      </w:r>
      <w:r>
        <w:t>For Lesson 10, continue in my learner project. Add redaction for observable events without removing useful operational counters. Complete the Session 10 lab and adversarial tests, then rerun the tenant and approval checks from earlier lessons. Show sanitized evidence and identify the actual containment boundary. Explain untested production responsibilities such as storage protection and infrastructure-level isolation without claiming they are already implemented. Use lesson-10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8 to 18 at lesson-10; common indentation is reduced for display. Ask the agent to explain material differences in behaviour.</w:t>
      </w:r>
    </w:p>
    <w:p>
      <w:pPr>
        <w:pStyle w:val="Code"/>
        <w:keepLines/>
      </w:pPr>
      <w:r>
        <w:t>def redact(value):</w:t>
        <w:br/>
        <w:t xml:space="preserve">    if isinstance(value, dict):</w:t>
        <w:br/>
        <w:t xml:space="preserve">        return {key: "[REDACTED]" if key.lower() in {</w:t>
        <w:br/>
        <w:t xml:space="preserve">            "authorization", "api_key", "password", "secret", "access_token"} else redact(item)</w:t>
        <w:br/>
        <w:t xml:space="preserve">            for key, item in value.items()}</w:t>
        <w:br/>
        <w:t xml:space="preserve">    if isinstance(value, list):</w:t>
        <w:br/>
        <w:t xml:space="preserve">        return [redact(item) for item in value]</w:t>
        <w:br/>
        <w:t xml:space="preserve">    if isinstance(value, str):</w:t>
        <w:br/>
        <w:t xml:space="preserve">        value = re.sub(r"(?i)Bearer\s+[A-Za-z0-9._-]+", "Bearer [REDACTED]", value)</w:t>
        <w:br/>
        <w:t xml:space="preserve">        return re.sub(r"\bsk-[A-Za-z0-9_-]{8,}", "[REDACTED]", value)</w:t>
        <w:br/>
        <w:t xml:space="preserve">    return value</w:t>
      </w:r>
    </w:p>
    <w:p>
      <w:r>
        <w:rPr>
          <w:b/>
        </w:rPr>
        <w:t xml:space="preserve">Explain the choice </w:t>
      </w:r>
      <w:r>
        <w:t>Redaction reduces accidental exposure in diagnostic output while preserving operational counters. It is one layer of protection, not a universal secret detector or storage encryption mechanism.</w:t>
      </w:r>
    </w:p>
    <w:p>
      <w:r>
        <w:rPr>
          <w:b/>
        </w:rPr>
        <w:t xml:space="preserve">ASK </w:t>
      </w:r>
      <w:r>
        <w:t>Can we safely log arbitrary request bodies because the redactor exists?</w:t>
      </w:r>
    </w:p>
    <w:p>
      <w:r>
        <w:rPr>
          <w:b/>
        </w:rPr>
        <w:t xml:space="preserve">Likely answer </w:t>
      </w:r>
      <w:r>
        <w:t>No. Minimize collected data first, then redact known sensitive fields and patterns. Avoid logging credentials in the first place.</w:t>
      </w:r>
    </w:p>
    <w:p>
      <w:r>
        <w:rPr>
          <w:b/>
        </w:rPr>
        <w:t xml:space="preserve">PAUSE </w:t>
      </w:r>
      <w:r>
        <w:t>Have learners identify the boundary in their agent’s change and explain the expected failure behaviour. Compare it with the reference snapshot before accepting the change.</w:t>
      </w:r>
    </w:p>
    <w:p>
      <w:pPr>
        <w:pStyle w:val="Heading1"/>
      </w:pPr>
      <w:r>
        <w:t>Learner practice and checkpoints</w:t>
      </w:r>
    </w:p>
    <w:p>
      <w:pPr>
        <w:pStyle w:val="AgentPrompt"/>
      </w:pPr>
      <w:r>
        <w:rPr>
          <w:b/>
        </w:rPr>
        <w:t xml:space="preserve">PROMPT </w:t>
      </w:r>
      <w:r>
        <w:t>Help me carry out the Lesson 10 learner exercise in my existing project: Run the hostile-provider fixture and verify zero effects. Add a symlink escape, a lookalike host and a fabricated citation to the local tests. Re-run cross-tenant API inspection and exact-action approval checks. Record the control and evidence for each rejection. First state the expected outcomes, then run the experiment in a recoverable state.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10 implementation against its completion criteria. Update the checkpoint indicator in incident/__init__.py to 10 only when the required capability is present. Run tests/test_lesson10.py, the Session 10 demonstration and the existing regression suite using the offline provider. Keep the expected outcomes unchanged. Report checks actually executed, failures, relevant output and any untested integration. Explain the result and save a recoverable checkpoint of my work.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"injected_write_effects": 0,</w:t>
        <w:br/>
        <w:t xml:space="preserve">  "blocked": [</w:t>
        <w:br/>
        <w:t xml:space="preserve">    "../globex/report.txt",</w:t>
        <w:br/>
        <w:t xml:space="preserve">    "/etc/passwd",</w:t>
        <w:br/>
        <w:t xml:space="preserve">    "metadata egress"</w:t>
        <w:br/>
        <w:t xml:space="preserve">  ],</w:t>
        <w:br/>
        <w:t xml:space="preserve">  "redacted": {</w:t>
        <w:br/>
        <w:t xml:space="preserve">    "authorization": "[REDACTED]",</w:t>
        <w:br/>
        <w:t xml:space="preserve">    "message": "[REDACTED]"</w:t>
        <w:br/>
        <w:t xml:space="preserve">  },</w:t>
        <w:br/>
        <w:t xml:space="preserve">  "boundary": "Application capability and path restrictions; OS container isolation is deployment-specific."</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An injected write proposal records zero effects.</w:t>
      </w:r>
    </w:p>
    <w:p>
      <w:pPr>
        <w:pStyle w:val="ListBullet"/>
      </w:pPr>
      <w:r>
        <w:t>Parent-directory and symlink escapes are rejected.</w:t>
      </w:r>
    </w:p>
    <w:p>
      <w:pPr>
        <w:pStyle w:val="ListBullet"/>
      </w:pPr>
      <w:r>
        <w:t>Unapproved network destinations and unsafe endpoint forms are rejected.</w:t>
      </w:r>
    </w:p>
    <w:p>
      <w:pPr>
        <w:pStyle w:val="ListBullet"/>
      </w:pPr>
      <w:r>
        <w:t>A source ID mentioned only in prose cannot satisfy citation validation.</w:t>
      </w:r>
    </w:p>
    <w:p>
      <w:pPr>
        <w:pStyle w:val="ListBullet"/>
      </w:pPr>
      <w:r>
        <w:t>Sensitive event fields are redacted while useful counters remain visible.</w:t>
      </w:r>
    </w:p>
    <w:p>
      <w:r>
        <w:t>The independently unpacked lesson-10 checkpoint passed its full test suite and this lesson demo. Recorded test result: 32 passed in 2.43s. Have your coding agent save a recoverable learner checkpoint and retain the comparison with lesson-10 (9b28c38).</w:t>
      </w:r>
    </w:p>
    <w:p>
      <w:pPr>
        <w:pStyle w:val="Heading2"/>
      </w:pPr>
      <w:r>
        <w:t>Files changed in this checkpoint</w:t>
      </w:r>
    </w:p>
    <w:p>
      <w:r>
        <w:t>Use this inventory to scope the coding agent’s work. It includes core files, lab scaffolding, acceptance tests and checkpoint metadata. Ask the agent to explain any additional file changes it needs.</w:t>
      </w:r>
    </w:p>
    <w:p>
      <w:pPr>
        <w:pStyle w:val="ListBullet"/>
      </w:pPr>
      <w:r>
        <w:t>incident/__init__.py</w:t>
      </w:r>
    </w:p>
    <w:p>
      <w:pPr>
        <w:pStyle w:val="ListBullet"/>
      </w:pPr>
      <w:r>
        <w:t>incident/a2a_client.py</w:t>
      </w:r>
    </w:p>
    <w:p>
      <w:pPr>
        <w:pStyle w:val="ListBullet"/>
      </w:pPr>
      <w:r>
        <w:t>incident/api.py</w:t>
      </w:r>
    </w:p>
    <w:p>
      <w:pPr>
        <w:pStyle w:val="ListBullet"/>
      </w:pPr>
      <w:r>
        <w:t>incident/core.py</w:t>
      </w:r>
    </w:p>
    <w:p>
      <w:pPr>
        <w:pStyle w:val="ListBullet"/>
      </w:pPr>
      <w:r>
        <w:t>incident/labs/l10.py</w:t>
      </w:r>
    </w:p>
    <w:p>
      <w:pPr>
        <w:pStyle w:val="ListBullet"/>
      </w:pPr>
      <w:r>
        <w:t>incident/providers.py</w:t>
      </w:r>
    </w:p>
    <w:p>
      <w:pPr>
        <w:pStyle w:val="ListBullet"/>
      </w:pPr>
      <w:r>
        <w:t>incident/security.py</w:t>
      </w:r>
    </w:p>
    <w:p>
      <w:pPr>
        <w:pStyle w:val="ListBullet"/>
      </w:pPr>
      <w:r>
        <w:t>tests/test_lesson10.py</w:t>
      </w:r>
    </w:p>
    <w:p>
      <w:pPr>
        <w:pStyle w:val="AgentPrompt"/>
        <w:keepLines/>
      </w:pPr>
      <w:r>
        <w:rPr>
          <w:b/>
        </w:rPr>
        <w:t xml:space="preserve">PROMPT </w:t>
      </w:r>
      <w:r>
        <w:t>Compare my completed Lesson 10 work with reference lesson-10. Show the changed files, interfaces and important behavioural differences. Explain how each completion criterion is met with code or test evidence. Preserve deliberate learner improvements and earlier capabilities; do not overwrite my work merely to obtain a textually identical copy.</w:t>
      </w:r>
    </w:p>
    <w:p>
      <w:pPr>
        <w:pStyle w:val="Heading1"/>
      </w:pPr>
      <w:r>
        <w:t>Demo troubleshooting</w:t>
      </w:r>
    </w:p>
    <w:p>
      <w:pPr>
        <w:pStyle w:val="Heading2"/>
      </w:pPr>
      <w:r>
        <w:t>A live provider is blocked by endpoint policy</w:t>
      </w:r>
    </w:p>
    <w:p>
      <w:pPr>
        <w:pStyle w:val="AgentPrompt"/>
      </w:pPr>
      <w:r>
        <w:rPr>
          <w:b/>
        </w:rPr>
        <w:t xml:space="preserve">PROMPT </w:t>
      </w:r>
      <w:r>
        <w:t>I am working on Lesson 10. The symptom is: A live provider is blocked by endpoint policy. Diagnostic focus: The configured base host is not in MODEL_ALLOWED_HOSTS. Recovery guidance: Review and explicitly configure the intended trusted provider host. Do not accept a host chosen by retrieved content or disable TLS verification. Reproduce the issue, make the smallest necessary correction and rerun affected checks. Report the cause, changed files and observed outcome. Preserve security controls and acceptance criteria.</w:t>
      </w:r>
    </w:p>
    <w:p>
      <w:pPr>
        <w:pStyle w:val="Heading2"/>
      </w:pPr>
      <w:r>
        <w:t>A legitimate artifact path is rejected</w:t>
      </w:r>
    </w:p>
    <w:p>
      <w:pPr>
        <w:pStyle w:val="AgentPrompt"/>
      </w:pPr>
      <w:r>
        <w:rPr>
          <w:b/>
        </w:rPr>
        <w:t xml:space="preserve">PROMPT </w:t>
      </w:r>
      <w:r>
        <w:t>I am working on Lesson 10. The symptom is: A legitimate artifact path is rejected. Diagnostic focus: The path may be absolute, outside the tenant root or resolved through a symlink. Recovery guidance: Use a relative path within the intended tenant workspace and inspect the resolved location. Reproduce the issue, make the smallest necessary correction and rerun affected checks. Report the cause, changed files and observed outcome. Preserve security controls and acceptance criteria.</w:t>
      </w:r>
    </w:p>
    <w:p>
      <w:pPr>
        <w:pStyle w:val="Heading2"/>
      </w:pPr>
      <w:r>
        <w:t>Redaction removes too much diagnostic detail</w:t>
      </w:r>
    </w:p>
    <w:p>
      <w:pPr>
        <w:pStyle w:val="AgentPrompt"/>
      </w:pPr>
      <w:r>
        <w:rPr>
          <w:b/>
        </w:rPr>
        <w:t xml:space="preserve">PROMPT </w:t>
      </w:r>
      <w:r>
        <w:t>I am working on Lesson 10. The symptom is: Redaction removes too much diagnostic detail. Diagnostic focus: A sensitive key name may have been used for a non-sensitive value. Recovery guidance: Improve the telemetry schema and retain separate safe counters rather than weakening credential protection. Reproduce the issue, make the smallest necessary correction and rerun affected checks. Report the cause, changed files and observed outcome. Preserve security controls and acceptance criteria.</w:t>
      </w:r>
    </w:p>
    <w:p>
      <w:pPr>
        <w:pStyle w:val="Heading2"/>
      </w:pPr>
      <w:r>
        <w:t>Someone calls the path helper a full sandbox</w:t>
      </w:r>
    </w:p>
    <w:p>
      <w:pPr>
        <w:pStyle w:val="AgentPrompt"/>
      </w:pPr>
      <w:r>
        <w:rPr>
          <w:b/>
        </w:rPr>
        <w:t xml:space="preserve">PROMPT </w:t>
      </w:r>
      <w:r>
        <w:t>I am working on Lesson 10. The symptom is: Someone calls the path helper a full sandbox. Diagnostic focus: Application containment is being confused with OS isolation. Recovery guidance: State the actual boundary and use the restricted container or an appropriate production execution sandbox for infrastructure-level isolation.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Add an adversarial fixture for one new tool and prove denial independently of model behaviour.</w:t>
      </w:r>
    </w:p>
    <w:p>
      <w:pPr>
        <w:pStyle w:val="ListBullet"/>
      </w:pPr>
      <w:r>
        <w:t>Document the platform's trust boundaries, including service identity, data retention, storage encryption and production sandbox requirements.</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39 passing tests. Real local MCP stdio and A2A HTTP discovery, streaming, authentication rejection and cancellation were exercised. The final packaged Linux ARM64 image also passed the end-to-end and capstone demos with restricted container settings.</w:t>
      </w:r>
    </w:p>
    <w:p>
      <w:r>
        <w:t>Live model credentials, paid provider calls, live model judging, third-party MCP or A2A services, remote MCP OAuth, enterprise identity, production cloud rollout and an external observability collector were not tested. The offline provider is a deterministic fixture, so its usage and quality results are teaching measurements. Read TESTING.md for the full scope and environment details.</w:t>
      </w:r>
    </w:p>
    <w:p>
      <w:r>
        <w:t>The SQLite mock-effect ledger proves its local transaction boundary. It does not guarantee exactly-once effects for arbitrary external APIs. The A2A specialist task store is in memory. The restricted Compose sandbox uses temporary writable state; persistent deployment storage requires separate configuration and validation.</w:t>
      </w:r>
    </w:p>
    <w:p>
      <w:pPr>
        <w:pStyle w:val="Heading1"/>
      </w:pPr>
      <w:r>
        <w:t>Session close</w:t>
      </w:r>
    </w:p>
    <w:p>
      <w:r>
        <w:rPr>
          <w:b/>
        </w:rPr>
        <w:t xml:space="preserve">SAY </w:t>
      </w:r>
      <w:r>
        <w:t>The platform's boundaries are now exercised against deliberate misuse. Keep the adversarial fixtures as regression cases. The next session completes observability, admission controls and release evidence, leaving a working platform ready for capstone tuning.</w:t>
      </w:r>
    </w:p>
    <w:p>
      <w:pPr>
        <w:pStyle w:val="Heading1"/>
      </w:pPr>
      <w:r>
        <w:t>References and further study</w:t>
      </w:r>
    </w:p>
    <w:p>
      <w:pPr>
        <w:pStyle w:val="ListBullet"/>
      </w:pPr>
      <w:hyperlink r:id="rId11">
        <w:r>
          <w:rPr>
            <w:color w:val="1155CC"/>
            <w:u w:val="single"/>
          </w:rPr>
          <w:t>MCP security best practices draft</w:t>
        </w:r>
      </w:hyperlink>
    </w:p>
    <w:p>
      <w:pPr>
        <w:pStyle w:val="ListBullet"/>
      </w:pPr>
      <w:hyperlink r:id="rId12">
        <w:r>
          <w:rPr>
            <w:color w:val="1155CC"/>
            <w:u w:val="single"/>
          </w:rPr>
          <w:t>OWASP prompt-injection prevention</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10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rive.google.com/drive/u/0/folders/1wos8PjyC0mTDQxrcZ89b9mG0yYV57Zr3" TargetMode="External"/><Relationship Id="rId11" Type="http://schemas.openxmlformats.org/officeDocument/2006/relationships/hyperlink" Target="https://modelcontextprotocol.io/docs/draft/tutorials/security/security_best_practices" TargetMode="External"/><Relationship Id="rId12" Type="http://schemas.openxmlformats.org/officeDocument/2006/relationships/hyperlink" Target="https://cheatsheetseries.owasp.org/cheatsheets/LLM_Prompt_Injection_Prevention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