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MCP tools, an A2A specialist, durable state, versioned definitions, admission controls, correlated traces and evaluated rollout and rollback.</w:t>
      </w:r>
    </w:p>
    <w:p>
      <w:r>
        <w:t>Duration: 120 minutes. Starting checkpoint: lesson-10. Ending checkpoint: lesson-11 (d5b2e22).</w:t>
      </w:r>
    </w:p>
    <w:p>
      <w:pPr>
        <w:pStyle w:val="Heading1"/>
      </w:pPr>
      <w:r>
        <w:t>Preparation</w:t>
      </w:r>
    </w:p>
    <w:p>
      <w:r>
        <w:t>Bring your Session 10 checkpoint, failure traces and evaluation harness. Review service-level objectives. Mentor supplies trace-view, load-test and deployment scaffolding; verify it before class. Kubernetes is an optional rollout/rollback example.</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11, starting from lesson-10.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lesson-10 and prepare a read-only view of lesson-11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Python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a local MCP-backed worker and an independent A2A specialist, inspect the parent and child traces, reject excess work under load and evaluate a configuration change before activating it. By the end, participants should have the working platform promised at the start of the programme. The capstone will tune and present this platform.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provider budgets. A queue bound limits accepted outstanding work; a per-tenant rate limit controls request arrival; a semaphore limits active workers. Shared reservations now include the parent and child token allowances. Trace records correlate run, parent, role, model and tool activity without exposing raw credentials. A release decision compares the same dataset and partition, checks outcome quality and applies explicit latency and usage thresholds. Model routing and caching are further tuning options: routing trades model capability against cost, while caching requires tenant, configuration and input identity plus expiration. We will experiment with those concerns in the capstone support code.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arrived too frequently. Neither condition should cause the server to spawn unlimited waiting tasks. The worker wrapper then acquires a semaphore and releases capacity in finally, including cancellation. Run the cancellation test and verify that capacity returns to zero. Ask learners why a concurrency limit alone does not bound memory when an unlimited number of requests can wait behind it.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incident/operations.py and connect them to Platform. Distinguish queue capacity from per-tenant arrival limits and active concurrency. Release reservations and leases on success, failure and cancellation. Include parent and child allowances in shared budget accounting. Show excess-work rejection and prove that cancellation restores capacity.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32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Concurrency controls how accepted work executes. They are complementary controls with different metrics and responses.</w:t>
      </w:r>
    </w:p>
    <w:p>
      <w:r>
        <w:rPr>
          <w:b/>
        </w:rPr>
        <w:t xml:space="preserve">ASK </w:t>
      </w:r>
      <w:r>
        <w:t>Why distinguish HTTP 429 and queue overload?</w:t>
      </w:r>
    </w:p>
    <w:p>
      <w:r>
        <w:rPr>
          <w:b/>
        </w:rPr>
        <w:t xml:space="preserve">Likely answer </w:t>
      </w:r>
      <w:r>
        <w:t>Rate limiting is tied to arrival policy; exhausted queue capacity is a service-capacity condition. Clients and operators need an actionable reason to back off.</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Correlate parent and child evidence</w:t>
      </w:r>
    </w:p>
    <w:p>
      <w:r>
        <w:rPr>
          <w:b/>
        </w:rPr>
        <w:t xml:space="preserve">SAY </w:t>
      </w:r>
      <w:r>
        <w:t>Build the trace from the tenant-scoped parent and its direct child runs. The resulting view shows identities, roles, status, usage and events. Run the hybrid team demo and verify three nodes: parent, local log worker and remote runbook specialist. Explain that this is an application trace view, not a configured external OpenTelemetry collector. The reference reading provides the broader tracing model. Open the generated HTML and trace one source-producing operation back to its parent. Ask learners what they can diagnose from an error code and lifecycle event even when raw prompts are deliberately absent.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and its escaped, redacted HTML view. Run the hybrid investigation with a local MCP-backed log worker and independent A2A runbook specialist. Show the three correlated run nodes, their evidence and usage counted once. Explain that this is the application's trace view, and identify any external observability integration that remains untested.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35 to 47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identifies where work and failure occurred across service boundaries. The HTML renderer escapes values and presents redacted event data rather than executable content.</w:t>
      </w:r>
    </w:p>
    <w:p>
      <w:r>
        <w:rPr>
          <w:b/>
        </w:rPr>
        <w:t xml:space="preserve">ASK </w:t>
      </w:r>
      <w:r>
        <w:t>Why count parent and child usage separately before calculating a total?</w:t>
      </w:r>
    </w:p>
    <w:p>
      <w:r>
        <w:rPr>
          <w:b/>
        </w:rPr>
        <w:t xml:space="preserve">Likely answer </w:t>
      </w:r>
      <w:r>
        <w:t>It makes ownership and double-counting visible. The total should include actual reported usage from each run once.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Evaluate a candidate before activation</w:t>
      </w:r>
    </w:p>
    <w:p>
      <w:r>
        <w:rPr>
          <w:b/>
        </w:rPr>
        <w:t xml:space="preserve">SAY </w:t>
      </w:r>
      <w:r>
        <w:t>Read the gate as a set of reviewable conditions. The dataset and partition must match, quality must meet the baseline and minimum, and latency and usage must fit the chosen limits. Run a candidate definition with a smaller context allowance through evaluate_platform, so the benchmark uses the actual platform configuration. Inspect individual cases when a check fails. Thresholds here are teaching values for the fixture workload, not universal service-level objectives. Ask participants to propose thresholds for their own task and explain which failures would block a release regardless of the aggregate score.</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configurations. Compare the same dataset and partition, retain per-case results and enforce explicit quality, latency and usage thresholds. Evaluate a candidate context policy and demonstrate rejection of a degraded or mismatched report. Explain which thresholds are teaching values and which need workload-specific decisions.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67 to 75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path executes versioned definitions through the platform and records their identity. A gate is meaningful only when it measures the candidate that will actually be activated.</w:t>
      </w:r>
    </w:p>
    <w:p>
      <w:r>
        <w:rPr>
          <w:b/>
        </w:rPr>
        <w:t xml:space="preserve">ASK </w:t>
      </w:r>
      <w:r>
        <w:t>Can a candidate pass by silently dropping the hardest cases?</w:t>
      </w:r>
    </w:p>
    <w:p>
      <w:r>
        <w:rPr>
          <w:b/>
        </w:rPr>
        <w:t xml:space="preserve">Likely answer </w:t>
      </w:r>
      <w:r>
        <w:t>No. The comparison must preserve the dataset and partition, and reviewers should inspect case-level coverage.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and roll back to version one. Activation changes the default for new runs; existing runs retain their original immutable configuration. Open the Docker and Compose files and identify the non-root user, read-only filesystem, restricted capabilities and isolated network. The provided Compose sandbox uses temporary state storage, so container replacement discards that sandbox data; the normal local SQLite path demonstrates persistent run recovery. A durable deployment needs a deliberately provisioned persistent volume.</w:t>
      </w:r>
    </w:p>
    <w:p>
      <w:r>
        <w:rPr>
          <w:b/>
        </w:rPr>
        <w:t xml:space="preserve">SHOW </w:t>
      </w:r>
      <w:r>
        <w:t>The current learner implementation and incident/labs/l11.py.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runnable platform, correlated trace, accepted and rejected load, passing candidate activation and return to the previous version. Inspect the existing restricted container recipe and run it if the environment supports it. Report its temporary-state limitation and any untested deployment behaviour. Leave the working platform ready for tuning and presentation.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lesson-11; common indentation is reduced for display. Ask the agent to explain material differences in behaviour.</w:t>
      </w:r>
    </w:p>
    <w:p>
      <w:pPr>
        <w:pStyle w:val="Code"/>
        <w:keepLines/>
      </w:pPr>
      <w:r>
        <w:t>baseline = await evaluate_platform(platform, "single", 1)</w:t>
        <w:br/>
        <w:t>spec = platform.definitions.get("single", 1)["spec"]</w:t>
        <w:br/>
        <w:t>platform.definitions.put("single", 2, {**spec, "context_chars": 4500})</w:t>
        <w:br/>
        <w:t>candidate = await evaluate_platform(platform, "single", 2)</w:t>
        <w:br/>
        <w:t>gate = release_gate(baseline, candidate)</w:t>
        <w:br/>
        <w:t>assert gate["approved"]</w:t>
        <w:br/>
        <w:t>platform.definitions.activate("single", 2)</w:t>
        <w:br/>
        <w:t>active = platform.definitions.get("single")["version"]</w:t>
        <w:br/>
        <w:t>platform.definitions.activate("single", 1)</w:t>
        <w:br/>
        <w:t>return {"end_to_end": run.answer, "trace_nodes": len(trace["nodes"]),</w:t>
        <w:br/>
        <w:t xml:space="preserve">    "trace_file": str(output), "total_tokens": trace["total_tokens"],</w:t>
        <w:br/>
        <w:t xml:space="preserve">    "overload_rejected": rejected, "release_gate": gate,</w:t>
        <w:br/>
        <w:t xml:space="preserve">    "activated_version": active, "rollback_version": platform.definitions.get("single")["version"]}</w:t>
      </w:r>
    </w:p>
    <w:p>
      <w:r>
        <w:rPr>
          <w:b/>
        </w:rPr>
        <w:t xml:space="preserve">Explain the choice </w:t>
      </w:r>
      <w:r>
        <w:t>The demo connects technical controls to observable operational outcomes. Rollback changes configuration selection rather than mutating the contents of an old version.</w:t>
      </w:r>
    </w:p>
    <w:p>
      <w:r>
        <w:rPr>
          <w:b/>
        </w:rPr>
        <w:t xml:space="preserve">ASK </w:t>
      </w:r>
      <w:r>
        <w:t>Why preserve the old definition after a successful rollout?</w:t>
      </w:r>
    </w:p>
    <w:p>
      <w:r>
        <w:rPr>
          <w:b/>
        </w:rPr>
        <w:t xml:space="preserve">Likely answer </w:t>
      </w:r>
      <w:r>
        <w:t>Existing run evidence still refers to it, and rollback needs an identifiable prior configuration.</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Lower queue capacity, send excess work and verify rejection and cleanup. Evaluate a deliberately worse candidate and show that the release gate blocks it. Then activate a passing version and roll back.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incident/__init__.py to 11 only when the required capability is present. Run tests/test_lesson11.py, the Session 11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"log-acme-001",</w:t>
        <w:br/>
        <w:t xml:space="preserve">      "rb-pool-v1"</w:t>
        <w:br/>
        <w:t xml:space="preserve">    ]</w:t>
        <w:br/>
        <w:t xml:space="preserve">  },</w:t>
        <w:br/>
        <w:t xml:space="preserve">  "trace_nodes": 3,</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MCP and A2A paths.</w:t>
      </w:r>
    </w:p>
    <w:p>
      <w:pPr>
        <w:pStyle w:val="ListBullet"/>
      </w:pPr>
      <w:r>
        <w:t>The trace includes the parent and two child nodes without cross-tenant records.</w:t>
      </w:r>
    </w:p>
    <w:p>
      <w:pPr>
        <w:pStyle w:val="ListBullet"/>
      </w:pPr>
      <w:r>
        <w:t>Excess work is rejected and cancellation releases capacity.</w:t>
      </w:r>
    </w:p>
    <w:p>
      <w:pPr>
        <w:pStyle w:val="ListBullet"/>
      </w:pPr>
      <w:r>
        <w:t>A tiny shared parent-and-child budget prevents execution.</w:t>
      </w:r>
    </w:p>
    <w:p>
      <w:pPr>
        <w:pStyle w:val="ListBullet"/>
      </w:pPr>
      <w:r>
        <w:t>A degraded or mismatched evaluation blocks release, and activation can return to the previous version.</w:t>
      </w:r>
    </w:p>
    <w:p>
      <w:r>
        <w:t>The independently unpacked lesson-11 checkpoint passed its full test suite and this lesson demo. Recorded test result: 36 passed in 4.19s. Have your coding agent save a recoverable learner checkpoint and retain the comparison with lesson-11 (d5b2e22).</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Dockerfile</w:t>
      </w:r>
    </w:p>
    <w:p>
      <w:pPr>
        <w:pStyle w:val="ListBullet"/>
      </w:pPr>
      <w:r>
        <w:t>compose.yaml</w:t>
      </w:r>
    </w:p>
    <w:p>
      <w:pPr>
        <w:pStyle w:val="ListBullet"/>
      </w:pPr>
      <w:r>
        <w:t>incident/__init__.py</w:t>
      </w:r>
    </w:p>
    <w:p>
      <w:pPr>
        <w:pStyle w:val="ListBullet"/>
      </w:pPr>
      <w:r>
        <w:t>incident/a2a_client.py</w:t>
      </w:r>
    </w:p>
    <w:p>
      <w:pPr>
        <w:pStyle w:val="ListBullet"/>
      </w:pPr>
      <w:r>
        <w:t>incident/api.py</w:t>
      </w:r>
    </w:p>
    <w:p>
      <w:pPr>
        <w:pStyle w:val="ListBullet"/>
      </w:pPr>
      <w:r>
        <w:t>incident/client.py</w:t>
      </w:r>
    </w:p>
    <w:p>
      <w:pPr>
        <w:pStyle w:val="ListBullet"/>
      </w:pPr>
      <w:r>
        <w:t>incident/labs/l11.py</w:t>
      </w:r>
    </w:p>
    <w:p>
      <w:pPr>
        <w:pStyle w:val="ListBullet"/>
      </w:pPr>
      <w:r>
        <w:t>incident/operations.py</w:t>
      </w:r>
    </w:p>
    <w:p>
      <w:pPr>
        <w:pStyle w:val="ListBullet"/>
      </w:pPr>
      <w:r>
        <w:t>incident/platform.py</w:t>
      </w:r>
    </w:p>
    <w:p>
      <w:pPr>
        <w:pStyle w:val="ListBullet"/>
      </w:pPr>
      <w:r>
        <w:t>incident/supervisor.py</w:t>
      </w:r>
    </w:p>
    <w:p>
      <w:pPr>
        <w:pStyle w:val="ListBullet"/>
      </w:pPr>
      <w:r>
        <w:t>tests/test_lesson11.py</w:t>
      </w:r>
    </w:p>
    <w:p>
      <w:pPr>
        <w:pStyle w:val="AgentPrompt"/>
        <w:keepLines/>
      </w:pPr>
      <w:r>
        <w:rPr>
          <w:b/>
        </w:rPr>
        <w:t xml:space="preserve">PROMPT </w:t>
      </w:r>
      <w:r>
        <w:t>Compare my completed Lesson 11 work with reference lesson-11.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Recovery guidance: Inspect child run IDs and save their completed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release its reservation or lease. Recovery guidance: Run the cancellation regression test and keep cleanup in finally for both waiting and active work. Reproduce the issue, make the smallest necessary correction and rerun affected checks. Report the cause, changed files and observed outcome. Preserve security controls and acceptance criteria.</w:t>
      </w:r>
    </w:p>
    <w:p>
      <w:pPr>
        <w:pStyle w:val="Heading2"/>
      </w:pPr>
      <w:r>
        <w:t>A release gate fails on latency</w:t>
      </w:r>
    </w:p>
    <w:p>
      <w:pPr>
        <w:pStyle w:val="AgentPrompt"/>
      </w:pPr>
      <w:r>
        <w:rPr>
          <w:b/>
        </w:rPr>
        <w:t xml:space="preserve">PROMPT </w:t>
      </w:r>
      <w:r>
        <w:t>I am working on Lesson 11. The symptom is: A release gate fails on latency. Diagnostic focus: Inspect the measured cases and environment rather than only the mean. Recovery guidance: Diagnose the slow stage, rerun representative trials and use justified project thresholds.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architecture diagram and one failure trace you will explain during the capstone.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39 passing tests. Real local MCP stdio and A2A HTTP discovery, streaming, authentication rejection and cancellation were exercised. The final packaged Linux ARM64 image also passed the end-to-end and capstone demos with restricted container settings.</w:t>
      </w:r>
    </w:p>
    <w:p>
      <w:r>
        <w:t>Live model credentials, paid provider calls, live model judging, third-party MCP or A2A services, remote MCP OAuth, enterprise identity,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The guided build is complete. You have a runnable sandbox platform with the required runtime, integrations and control surfaces. Preserve the checkpoint and baseline. The capstone now focuses on measured tuning, explanation and presentation of what you built.</w:t>
      </w:r>
    </w:p>
    <w:p>
      <w:pPr>
        <w:pStyle w:val="Heading1"/>
      </w:pPr>
      <w:r>
        <w:t>References and further study</w:t>
      </w:r>
    </w:p>
    <w:p>
      <w:pPr>
        <w:pStyle w:val="ListBullet"/>
      </w:pPr>
      <w:hyperlink r:id="rId11">
        <w:r>
          <w:rPr>
            <w:color w:val="1155CC"/>
            <w:u w:val="single"/>
          </w:rPr>
          <w:t>Distributed traces</w:t>
        </w:r>
      </w:hyperlink>
    </w:p>
    <w:p>
      <w:pPr>
        <w:pStyle w:val="ListBullet"/>
      </w:pPr>
      <w:hyperlink r:id="rId12">
        <w:r>
          <w:rPr>
            <w:color w:val="1155CC"/>
            <w:u w:val="single"/>
          </w:rPr>
          <w:t>Evaluation and regression checks</w:t>
        </w:r>
      </w:hyperlink>
    </w:p>
    <w:p>
      <w:pPr>
        <w:pStyle w:val="ListBullet"/>
      </w:pPr>
      <w:hyperlink r:id="rId13">
        <w:r>
          <w:rPr>
            <w:color w:val="1155CC"/>
            <w:u w:val="single"/>
          </w:rPr>
          <w:t>Rollout and rollback example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opentelemetry.io/docs/concepts/signals/traces/" TargetMode="External"/><Relationship Id="rId12" Type="http://schemas.openxmlformats.org/officeDocument/2006/relationships/hyperlink" Target="https://www.anthropic.com/engineering/demystifying-evals-for-ai-agents" TargetMode="External"/><Relationship Id="rId13"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