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justify a bounded tuning change with comparable evidence and explain architecture, failures and remaining limitations.</w:t>
      </w:r>
    </w:p>
    <w:p>
      <w:r>
        <w:t>Duration: 90 minutes. Starting checkpoint: lesson-11. Ending checkpoint: lesson-12 (094d095).</w:t>
      </w:r>
    </w:p>
    <w:p>
      <w:pPr>
        <w:pStyle w:val="Heading1"/>
      </w:pPr>
      <w:r>
        <w:t>Preparation</w:t>
      </w:r>
    </w:p>
    <w:p>
      <w:r>
        <w:t>Bring the working Session 11 platform and its checks. Choose a small set of tuning changes, measure before/after results on the same evaluation cases, and prepare a short architecture and demo narrative with code, traces and benchmarks.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12, starting from lesson-11.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lesson-11 and prepare a read-only view of lesson-12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t>Require the working Session 11 platform and before/after evidence in advance. Use review groups or recorded demonstrations for a large cohort so every participant receives review within the 90-minute session.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25</w:t>
            </w:r>
          </w:p>
        </w:tc>
        <w:tc>
          <w:tcPr>
            <w:tcW w:type="dxa" w:w="6696"/>
            <w:vAlign w:val="center"/>
            <w:tcMar>
              <w:top w:w="70" w:type="dxa"/>
              <w:bottom w:w="70" w:type="dxa"/>
              <w:left w:w="70" w:type="dxa"/>
              <w:right w:w="70" w:type="dxa"/>
            </w:tcMar>
          </w:tcPr>
          <w:p>
            <w:pPr>
              <w:spacing w:after="40" w:line="240" w:lineRule="auto"/>
            </w:pPr>
            <w:r>
              <w:rPr>
                <w:sz w:val="20"/>
              </w:rPr>
              <w:t>Walk through the tuning experiment and comparison</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25 to 65</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65 to 80</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80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with a working Session 11 checkpoint and a small, explicit tuning hypothesis. The strongest presentation shows a supported outcome, explains the implementation path and compares before and after on the same cases. It also demonstrates one control or recovery behaviour. We will use the supplied fixture experiment to rehearse this process, then review participant results. The reference's simulated usage improvement is an example of measurement mechanics,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efficient fixture finishes early when structured log evidence is sufficient and retains the longer path for ambiguous or missing evidence. Across the five cases it reduces mean simulated usage from 75 to 63 while preserving the fixture's success rate. That is a 16 percent reduction in this controlled fixture. The separate cache example distinguishes cold from warm runs and scopes entries by tenant and configuration. Routing selects a careful provider when observations are incomplete or failed. Live-model quality, cost and latency must be measured with real credentials and configured pricing before making deployment claims.</w:t>
      </w:r>
    </w:p>
    <w:p>
      <w:r>
        <w:rPr>
          <w:b/>
        </w:rPr>
        <w:t xml:space="preserve">PAUSE </w:t>
      </w:r>
      <w:r>
        <w:t>Invite one learner to trace the control flow and another to identify a failure boundary. Resolve different interpretations before opening the implementation.</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retain the original behaviour. Emphasize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capstone reference. Help me state one bounded tuning hypothesis and identify the smallest change needed to test it. Explain the EfficientMockProvider example and where early completion is safe or unsafe in these fixtures. Preserve the baseline and define evidence that would justify adopting or rejecting my change before implementing it.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platform definition rather than mutating the baseline.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Run a comparable before and after evaluation</w:t>
      </w:r>
    </w:p>
    <w:p>
      <w:r>
        <w:rPr>
          <w:b/>
        </w:rPr>
        <w:t xml:space="preserve">SAY </w:t>
      </w:r>
      <w:r>
        <w:t>Run three trials for each case under version one, then register and evaluate the efficient version two. The platform, dataset and trial count remain the same. Inspect the release gate and the individual rows before quoting the summary. The result should preserve fixture success and show the reduced simulated usage.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version or clearly isolated patch. Evaluate before and after on the same cases, partitions and trial conditions, retaining failures and per-case rows. Use the actual platform path. Keep fixture usage separate from live-model economics and preserve the original expected outcomes. Show the comparison and release decision with its limitations.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30 at lesson-12; common indentation is reduced for display. Ask the agent to explain material differences in behaviour.</w:t>
      </w:r>
    </w:p>
    <w:p>
      <w:pPr>
        <w:pStyle w:val="Code"/>
        <w:keepLines/>
      </w:pPr>
      <w:r>
        <w:t>baseline = await evaluate_platform(platform, "single", 1, trials=3)</w:t>
        <w:br/>
        <w:t>original = platform.definitions.get("single", 1)["spec"]</w:t>
        <w:br/>
        <w:t>platform.definitions.put("single", 2, {**original, "provider_profile": "efficient"})</w:t>
        <w:br/>
        <w:t>candidate = await evaluate_platform(platform, "single", 2, trials=3)</w:t>
        <w:br/>
        <w:t>gate = release_gate(baseline, candidate)</w:t>
        <w:br/>
        <w:t>assert gate["approved"] and candidate["mean_tokens"] &lt; baseline["mean_tokens"]</w:t>
        <w:br/>
        <w:t>tools, ctx = ToolExecutor(read_handler=context_tools), Context()</w:t>
        <w:br/>
        <w:t>cached = CachedProvider(MockProvider(), "acme", "single-v1")</w:t>
        <w:br/>
        <w:t>cold = await run_agent(cached, tools.execute, tools.available(ctx), "INC-001", ctx)</w:t>
        <w:br/>
        <w:t>warm = await run_agent(cached, tools.execute, tools.available(ctx), "INC-001", ctx)</w:t>
        <w:b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r>
    </w:p>
    <w:p>
      <w:r>
        <w:rPr>
          <w:b/>
        </w:rPr>
        <w:t xml:space="preserve">Explain the choice </w:t>
      </w:r>
      <w:r>
        <w:t>The experiment uses the actual versioned platform path. Equivalent evaluation conditions make the difference interpretable and keep the presentation grounded in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presented.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caching when the effectful mock tool is available. Show the cold and warm measurements separately. Then inspect RoutingProvider: incomplete or failed observations select the careful path. A real routing policy needs evaluation because a cheaper model can make an expensive mistake. Ask learners to explain one situation where an apparently helpful cache would return stale or unauthorized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report cold and warm behaviour separately. Check uncertainty routing without assuming a cheaper provider is always adequate. Run the focused tests and explain correctness risks and evidence needed for a live deployment.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Present the platform and defend the decision</w:t>
      </w:r>
    </w:p>
    <w:p>
      <w:r>
        <w:rPr>
          <w:b/>
        </w:rPr>
        <w:t xml:space="preserve">SAY </w:t>
      </w:r>
      <w:r>
        <w:t>Use the saved report as supporting evidence, then demonstrate the platform itself. Show an end-to-end investigation, identify the parent and child roles, and explain why MCP and A2A are used at different boundaries. Demonstrate one permission rejection, cancellation or recovery case. Present the before-and-after result with its conditions and limitations. Finish with a release decision: adopt the change, keep it experimental or reject it. Ask the reviewer to challenge one architectural assumption. The participant should be able to answer from code and traces rather than only from a generated slide or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demonstration of my completed platform and a concise evidence pack: architecture, one end-to-end investigation, one permission or recovery failure case, and the before-and-after tuning report. Use actual code and recorded results, clearly identifying anything not demonstrated live. Ask me to explain the tradeoffs in my own words. Do not invent improvements or automatically adopt a change whose evidence is inadequate.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36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r>
    </w:p>
    <w:p>
      <w:r>
        <w:rPr>
          <w:b/>
        </w:rPr>
        <w:t xml:space="preserve">Explain the choice </w:t>
      </w:r>
      <w:r>
        <w:t>The capstone assesses ownership of the implementation and quality of judgment. A working demonstration and a reproducible comparison provide stronger evidence than a feature list.</w:t>
      </w:r>
    </w:p>
    <w:p>
      <w:r>
        <w:rPr>
          <w:b/>
        </w:rPr>
        <w:t xml:space="preserve">ASK </w:t>
      </w:r>
      <w:r>
        <w:t>What should a participant do if the tuning result is negative?</w:t>
      </w:r>
    </w:p>
    <w:p>
      <w:r>
        <w:rPr>
          <w:b/>
        </w:rPr>
        <w:t xml:space="preserve">Likely answer </w:t>
      </w:r>
      <w:r>
        <w:t>Present it honestly, explain what was learned and retain the better baseline. A justified rejection can demonstrate sound engineering judgment.</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and generate a comparable before-and-after report. During class, demonstrate the working platform and one failure-control case. Explain the evidence, tradeoffs and adoption decision. Use the fixture experiment only as a rehearsal when live model access is unavailable.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tests/test_lesson12.py, the Session 12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configuration or a documented patch.</w:t>
      </w:r>
    </w:p>
    <w:p>
      <w:pPr>
        <w:pStyle w:val="ListBullet"/>
      </w:pPr>
      <w:r>
        <w:t>Before and after use comparable cases and conditions, with failures visible.</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Recorded test result: 39 passed in 4.66s. Have your coding agent save a recoverable learner checkpoint and retain the comparison with lesson-12 (094d095).</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incident/api.py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Compare my completed Lesson 12 work with reference lesson-12.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or configuration and preserve the error evidence. Recovery guidance: Use the prepared completed reference snapshot and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A tuning change improves one case and harms another</w:t>
      </w:r>
    </w:p>
    <w:p>
      <w:pPr>
        <w:pStyle w:val="AgentPrompt"/>
      </w:pPr>
      <w:r>
        <w:rPr>
          <w:b/>
        </w:rPr>
        <w:t xml:space="preserve">PROMPT </w:t>
      </w:r>
      <w:r>
        <w:t>I am working on Lesson 12. The symptom is: A tuning change improves one case and harms another. Diagnostic focus: Inspect per-case outcomes and the acceptance criteria. Recovery guidance: Revise or reject the change, or define a justified routing policy and evaluate it separately.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25-to-65-minute presentation block using review groups or pre-recorded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demo narrative, comparison report and remaining limitations.</w:t>
      </w:r>
    </w:p>
    <w:p>
      <w:pPr>
        <w:pStyle w:val="ListBullet"/>
      </w:pPr>
      <w:r>
        <w:t>Address review findings and retain the baseline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The course outcome is a platform you can run, inspect and explain. Your capstone decision should follow from evidence, including evidence that an attractive change should not be adopted. Keep the tests, checkpoints and runbook as the basis for future development.</w:t>
      </w:r>
    </w:p>
    <w:p>
      <w:pPr>
        <w:pStyle w:val="Heading1"/>
      </w:pPr>
      <w:r>
        <w:t>References and further study</w:t>
      </w:r>
    </w:p>
    <w:p>
      <w:pPr>
        <w:pStyle w:val="ListBullet"/>
      </w:pPr>
      <w:hyperlink r:id="rId11">
        <w:r>
          <w:rPr>
            <w:color w:val="1155CC"/>
            <w:u w:val="single"/>
          </w:rPr>
          <w:t>Evaluation evidence and grading</w:t>
        </w:r>
      </w:hyperlink>
    </w:p>
    <w:p>
      <w:pPr>
        <w:pStyle w:val="ListBullet"/>
      </w:pPr>
      <w:hyperlink r:id="rId12">
        <w:r>
          <w:rPr>
            <w:color w:val="1155CC"/>
            <w:u w:val="single"/>
          </w:rPr>
          <w:t>Multi-agent design tradeoffs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multi-agent-research-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