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30"/>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30"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30"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30"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sz w:val="20"/>
                <w:szCs w:val="20"/>
              </w:rPr>
            </w:pPr>
            <w:r>
              <w:rPr/>
            </w:r>
          </w:p>
          <w:p>
            <w:pPr>
              <w:pStyle w:val="Normal"/>
              <w:widowControl w:val="false"/>
              <w:spacing w:lineRule="auto" w:line="240" w:before="0" w:after="0"/>
              <w:rPr/>
            </w:pPr>
            <w:bookmarkStart w:id="3" w:name="__DdeLink__4361_1036765621"/>
            <w:r>
              <w:rPr>
                <w:sz w:val="20"/>
                <w:szCs w:val="20"/>
              </w:rPr>
              <w:t xml:space="preserve"> </w:t>
            </w:r>
            <w:bookmarkEnd w:id="3"/>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tc>
      </w:tr>
    </w:tbl>
    <w:p>
      <w:pPr>
        <w:pStyle w:val="Normal"/>
        <w:widowControl w:val="false"/>
        <w:spacing w:lineRule="auto" w:line="240" w:before="0" w:after="0"/>
        <w:rPr>
          <w:b w:val="false"/>
          <w:b w:val="false"/>
          <w:bCs w:val="false"/>
        </w:rPr>
      </w:pPr>
      <w:r>
        <w:rPr>
          <w:b w:val="false"/>
          <w:bCs w:val="false"/>
        </w:rPr>
      </w:r>
    </w:p>
    <w:tbl>
      <w:tblPr>
        <w:tblW w:w="10800" w:type="dxa"/>
        <w:jc w:val="left"/>
        <w:tblInd w:w="-4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9</Pages>
  <Words>5436</Words>
  <Characters>30196</Characters>
  <CharactersWithSpaces>35580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2019-08-18T20:30:00Z</dcterms:modified>
  <cp:revision>16</cp:revision>
  <dc:subject/>
  <dc:title>IOTemplate.docx.docx</dc:title>
</cp:coreProperties>
</file>