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0"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799" w:type="dxa"/>
        <w:jc w:val="left"/>
        <w:tblInd w:w="-55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4"/>
        <w:gridCol w:w="8344"/>
      </w:tblGrid>
      <w:tr>
        <w:trPr/>
        <w:tc>
          <w:tcPr>
            <w:tcW w:w="2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${company_name}</w:t>
            </w:r>
          </w:p>
        </w:tc>
      </w:tr>
    </w:tbl>
    <w:p>
      <w:pPr>
        <w:pStyle w:val="Normal"/>
        <w:widowControl w:val="false"/>
        <w:spacing w:lineRule="auto" w:line="240" w:before="0" w:after="0"/>
        <w:rPr/>
      </w:pPr>
      <w:r>
        <w:rPr/>
      </w:r>
    </w:p>
    <w:tbl>
      <w:tblPr>
        <w:tblW w:w="10802" w:type="dxa"/>
        <w:jc w:val="left"/>
        <w:tblInd w:w="-55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6"/>
        <w:gridCol w:w="3053"/>
        <w:gridCol w:w="2483"/>
        <w:gridCol w:w="2809"/>
      </w:tblGrid>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${company_address}</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5" w:type="dxa"/>
        <w:jc w:val="left"/>
        <w:tblInd w:w="-55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39"/>
        <w:gridCol w:w="5568"/>
        <w:gridCol w:w="1536"/>
        <w:gridCol w:w="1241"/>
      </w:tblGrid>
      <w:tr>
        <w:trPr>
          <w:trHeight w:val="7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 ${pTerCust}</w:t>
            </w:r>
          </w:p>
        </w:tc>
      </w:tr>
      <w:tr>
        <w:trPr>
          <w:trHeight w:val="14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bookmarkStart w:id="1" w:name="h.30j0zll"/>
            <w:bookmarkEnd w:id="1"/>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u w:val="single"/>
              </w:rPr>
            </w:pPr>
            <w:r>
              <w:rPr>
                <w:b/>
              </w:rPr>
              <w:t xml:space="preserve">CPS: </w:t>
            </w:r>
            <w:r>
              <w:rPr>
                <w:b w:val="false"/>
              </w:rPr>
              <w:t>${cr}</w:t>
            </w:r>
            <w:r>
              <w:rPr>
                <w:u w:val="single"/>
              </w:rPr>
              <w:t>${compCps}</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Pre-Payment</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${prePay}</w:t>
            </w:r>
          </w:p>
          <w:p>
            <w:pPr>
              <w:pStyle w:val="Normal"/>
              <w:widowControl w:val="false"/>
              <w:spacing w:lineRule="auto" w:line="240" w:before="0" w:after="0"/>
              <w:rPr/>
            </w:pPr>
            <w:r>
              <w:rPr/>
            </w:r>
          </w:p>
          <w:p>
            <w:pPr>
              <w:pStyle w:val="Normal"/>
              <w:widowControl w:val="false"/>
              <w:spacing w:lineRule="auto" w:line="240" w:before="0" w:after="0"/>
              <w:rPr>
                <w:sz w:val="20"/>
              </w:rPr>
            </w:pPr>
            <w:bookmarkStart w:id="2" w:name="h.1fob9te"/>
            <w:bookmarkEnd w:id="2"/>
            <w:r>
              <w:rPr>
                <w:sz w:val="20"/>
              </w:rPr>
              <w:t>${preAmnt}</w:t>
            </w:r>
          </w:p>
        </w:tc>
      </w:tr>
    </w:tbl>
    <w:p>
      <w:pPr>
        <w:pStyle w:val="Normal"/>
        <w:widowControl w:val="false"/>
        <w:spacing w:lineRule="auto" w:line="240" w:before="0" w:after="0"/>
        <w:rPr/>
      </w:pPr>
      <w:r>
        <w:rPr/>
      </w:r>
    </w:p>
    <w:tbl>
      <w:tblPr>
        <w:tblW w:w="10799" w:type="dxa"/>
        <w:jc w:val="left"/>
        <w:tblInd w:w="-55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0"/>
        <w:gridCol w:w="8358"/>
      </w:tblGrid>
      <w:tr>
        <w:trPr>
          <w:trHeight w:val="1759" w:hRule="atLeast"/>
        </w:trPr>
        <w:tc>
          <w:tcPr>
            <w:tcW w:w="2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sz w:val="20"/>
                <w:szCs w:val="20"/>
              </w:rPr>
            </w:pPr>
            <w:r>
              <w:rPr/>
            </w:r>
          </w:p>
          <w:p>
            <w:pPr>
              <w:pStyle w:val="Normal"/>
              <w:widowControl w:val="false"/>
              <w:spacing w:lineRule="auto" w:line="240" w:before="0" w:after="0"/>
              <w:rPr/>
            </w:pPr>
            <w:bookmarkStart w:id="3" w:name="__DdeLink__4361_1036765621"/>
            <w:r>
              <w:rPr>
                <w:sz w:val="20"/>
                <w:szCs w:val="20"/>
              </w:rPr>
              <w:t xml:space="preserve"> </w:t>
            </w:r>
            <w:bookmarkEnd w:id="3"/>
            <w:r>
              <w:rPr>
                <w:sz w:val="20"/>
                <w:szCs w:val="20"/>
              </w:rPr>
              <w:t>${noAdult}  ${noIncent}  ${noRebrokering}  ${noAffiliateNetwork}  ${None}</w:t>
            </w:r>
          </w:p>
          <w:p>
            <w:pPr>
              <w:pStyle w:val="Normal"/>
              <w:widowControl w:val="false"/>
              <w:spacing w:lineRule="auto" w:line="240" w:before="0" w:after="0"/>
              <w:rPr>
                <w:b w:val="false"/>
                <w:b w:val="false"/>
                <w:bCs w:val="false"/>
                <w:sz w:val="20"/>
                <w:szCs w:val="20"/>
              </w:rPr>
            </w:pPr>
            <w:r>
              <w:rPr/>
            </w:r>
          </w:p>
          <w:p>
            <w:pPr>
              <w:pStyle w:val="Normal"/>
              <w:widowControl w:val="false"/>
              <w:spacing w:lineRule="auto" w:line="240" w:before="0" w:after="0"/>
              <w:rPr>
                <w:sz w:val="20"/>
                <w:szCs w:val="20"/>
              </w:rPr>
            </w:pPr>
            <w:r>
              <w:rPr>
                <w:sz w:val="20"/>
                <w:szCs w:val="20"/>
              </w:rPr>
            </w:r>
          </w:p>
        </w:tc>
      </w:tr>
    </w:tbl>
    <w:p>
      <w:pPr>
        <w:pStyle w:val="Normal"/>
        <w:widowControl w:val="false"/>
        <w:spacing w:lineRule="auto" w:line="240" w:before="0" w:after="0"/>
        <w:rPr>
          <w:b w:val="false"/>
          <w:b w:val="false"/>
          <w:bCs w:val="false"/>
        </w:rPr>
      </w:pPr>
      <w:r>
        <w:rPr>
          <w:b w:val="false"/>
          <w:bCs w:val="false"/>
        </w:rPr>
      </w:r>
    </w:p>
    <w:tbl>
      <w:tblPr>
        <w:tblW w:w="10800"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color w:val="222222"/>
          <w:sz w:val="20"/>
          <w:highlight w:val="white"/>
        </w:rPr>
      </w:pPr>
      <w:r>
        <w:rPr>
          <w:sz w:val="20"/>
        </w:rPr>
        <w:t xml:space="preserve">(a) </w:t>
      </w:r>
      <w:r>
        <w:rPr>
          <w:color w:val="222222"/>
          <w:sz w:val="20"/>
          <w:highlight w:val="white"/>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color w:val="222222"/>
          <w:sz w:val="20"/>
          <w:highlight w:val="white"/>
          <w:vertAlign w:val="superscript"/>
        </w:rPr>
        <w:t>rd</w:t>
      </w:r>
      <w:r>
        <w:rPr>
          <w:color w:val="222222"/>
          <w:sz w:val="20"/>
          <w:highlight w:val="white"/>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4" w:type="dxa"/>
        <w:jc w:val="left"/>
        <w:tblInd w:w="-114" w:type="dxa"/>
        <w:tblBorders/>
        <w:tblCellMar>
          <w:top w:w="0" w:type="dxa"/>
          <w:left w:w="108" w:type="dxa"/>
          <w:bottom w:w="0" w:type="dxa"/>
          <w:right w:w="108" w:type="dxa"/>
        </w:tblCellMar>
      </w:tblPr>
      <w:tblGrid>
        <w:gridCol w:w="5400"/>
        <w:gridCol w:w="5833"/>
      </w:tblGrid>
      <w:tr>
        <w:trPr/>
        <w:tc>
          <w:tcPr>
            <w:tcW w:w="5400"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3"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0"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3"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Unless the provisions of Section 2(c) apply, Advertiser shall pay the Company on a weekly basis for the Services in accordance with the pricing specified in each IO or as otherwise documented in writing between the parties. The Company will calculate the payments due from Advertiser hereunder on a weekly basis (defined as Monday through Sunday) and deliver to Advertiser a weekly invoice. Advertiser shall pay the invoiced amount in full within three (3) days after the date of such invoice.</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(c) If the amount payable by Advertiser hereunder is less than 3,000 USA dollars each week for four (4) consecutive weeks, the Company will invoice Advertiser on a monthly basis. Advertiser shall pay the invoiced amount in full within three (3) days after its receipt of the applicable invoice. If the amount payable by Advertiser hereunder is 3,000 USA dollars or more per week for four (4) consecutive weeks, the Company will invoice Advertiser on a weekly basis as provided in Section 2(b).</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calendar days of the date of the applicable invoice, the amount set forth in such invoice will be deemed final and binding on both parties.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Ads until pre-payment monies are consumed.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(g)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 (c)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 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jc w:val="both"/>
              <w:rPr>
                <w:b/>
                <w:b/>
                <w:sz w:val="20"/>
              </w:rPr>
            </w:pPr>
            <w:r>
              <w:rPr>
                <w:b/>
                <w:sz w:val="20"/>
              </w:rPr>
              <w:t>SECCO SQUARED, LLC</w:t>
            </w:r>
          </w:p>
        </w:tc>
        <w:tc>
          <w:tcPr>
            <w:tcW w:w="5390"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2"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0"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72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10</w:t>
    </w:r>
    <w:r>
      <w:fldChar w:fldCharType="end"/>
    </w:r>
    <w:r>
      <w:rPr>
        <w:sz w:val="18"/>
      </w:rPr>
      <w:t xml:space="preserve"> of </w:t>
    </w:r>
    <w:r>
      <w:rPr>
        <w:sz w:val="18"/>
      </w:rPr>
      <w:fldChar w:fldCharType="begin"/>
    </w:r>
    <w:r>
      <w:instrText> NUMPAGES </w:instrText>
    </w:r>
    <w:r>
      <w:fldChar w:fldCharType="separate"/>
    </w:r>
    <w:r>
      <w:t>10</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paragraph" w:styleId="Style16">
    <w:name w:val="Содержимое таблицы"/>
    <w:basedOn w:val="Normal"/>
    <w:qFormat/>
    <w:pPr/>
    <w:rPr/>
  </w:style>
  <w:style w:type="paragraph" w:styleId="Style17">
    <w:name w:val="Заголовок таблицы"/>
    <w:basedOn w:val="Style16"/>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LibreOffice/5.1.6.2$Linux_X86_64 LibreOffice_project/10m0$Build-2</Application>
  <Pages>10</Pages>
  <Words>5426</Words>
  <Characters>30077</Characters>
  <CharactersWithSpaces>35460</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2019-07-31T15:25:29Z</dcterms:modified>
  <cp:revision>15</cp:revision>
  <dc:subject/>
  <dc:title>IOTemplate.docx.docx</dc:title>
</cp:coreProperties>
</file>