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sz w:val="20"/>
                <w:szCs w:val="20"/>
              </w:rPr>
            </w:pPr>
            <w:r>
              <w:rPr/>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b/>
                <w:b/>
                <w:bCs/>
                <w:sz w:val="20"/>
                <w:szCs w:val="20"/>
              </w:rPr>
            </w:pPr>
            <w:r>
              <w:rPr/>
            </w:r>
          </w:p>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9</Pages>
  <Words>5339</Words>
  <Characters>29660</Characters>
  <CharactersWithSpaces>34962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2019-07-31T15:23:20Z</dcterms:modified>
  <cp:revision>9</cp:revision>
  <dc:subject/>
  <dc:title>IOTemplate.docx.docx</dc:title>
</cp:coreProperties>
</file>