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04307" w14:textId="3C21D0C7" w:rsidR="00F95E9E" w:rsidRDefault="00F95E9E">
      <w:r>
        <w:t>IBAMA DISCLAIMER</w:t>
      </w:r>
    </w:p>
    <w:p w14:paraId="78533AC8" w14:textId="2C02F85A" w:rsidR="00F95E9E" w:rsidRDefault="00F95E9E"/>
    <w:p w14:paraId="3146B28E" w14:textId="77777777" w:rsidR="00F95E9E" w:rsidRPr="00F95E9E" w:rsidRDefault="00F95E9E" w:rsidP="00F95E9E">
      <w:pPr>
        <w:rPr>
          <w:rFonts w:ascii="Times New Roman" w:eastAsia="Times New Roman" w:hAnsi="Times New Roman" w:cs="Times New Roman"/>
          <w:lang w:eastAsia="pt-BR"/>
        </w:rPr>
      </w:pPr>
      <w:r w:rsidRPr="00F95E9E">
        <w:rPr>
          <w:rFonts w:ascii="Times New Roman" w:eastAsia="Times New Roman" w:hAnsi="Times New Roman" w:cs="Times New Roman"/>
          <w:lang w:eastAsia="pt-BR"/>
        </w:rPr>
        <w:t>Nos relatórios de produtos formulados (PF) recebidos pelo Ibama, foram identificados 315 ingredientes ativos (químicos e bioquímicos), sendo que, desse total, 89 ingredientes ativos terão suas vendas divulgadas de forma individualizada por apresentarem no mínimo três empresas detentoras de registro de produtos à base de cada uma dessas substâncias. O somatório das vendas no mercado interno dos 89 ingredientes ativos correspondeu a 563,46 mil toneladas de ingredientes ativos, representando 90,80% do valor total das vendas internas no país.</w:t>
      </w:r>
    </w:p>
    <w:p w14:paraId="08FE6B8A" w14:textId="77777777" w:rsidR="00F95E9E" w:rsidRDefault="00F95E9E"/>
    <w:sectPr w:rsidR="00F95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9E"/>
    <w:rsid w:val="00F9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E54CEF"/>
  <w15:chartTrackingRefBased/>
  <w15:docId w15:val="{3DA336B8-BD5C-0F48-8CA5-C59E1F89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476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1</cp:revision>
  <dcterms:created xsi:type="dcterms:W3CDTF">2021-03-24T22:09:00Z</dcterms:created>
  <dcterms:modified xsi:type="dcterms:W3CDTF">2021-03-24T22:10:00Z</dcterms:modified>
</cp:coreProperties>
</file>