
<file path=[Content_Types].xml><?xml version="1.0" encoding="utf-8"?>
<Types xmlns="http://schemas.openxmlformats.org/package/2006/content-types">
  <Default Extension="xml" ContentType="application/xml"/>
  <Default Extension="tiff" ContentType="image/tif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E732FE">
      <w:pPr>
        <w:spacing w:line="480" w:lineRule="auto"/>
        <w:jc w:val="center"/>
        <w:rPr>
          <w:rFonts w:ascii="Garamond" w:hAnsi="Garamond" w:cs="Times New Roman"/>
          <w:b/>
          <w:bCs/>
          <w:sz w:val="30"/>
          <w:szCs w:val="30"/>
        </w:rPr>
      </w:pPr>
    </w:p>
    <w:p w14:paraId="5D5C0EC0">
      <w:pPr>
        <w:spacing w:line="480" w:lineRule="auto"/>
        <w:jc w:val="center"/>
        <w:rPr>
          <w:rFonts w:ascii="Garamond" w:hAnsi="Garamond" w:cs="Times New Roman"/>
          <w:b/>
          <w:bCs/>
          <w:sz w:val="30"/>
          <w:szCs w:val="30"/>
        </w:rPr>
      </w:pPr>
    </w:p>
    <w:p w14:paraId="07867C62">
      <w:pPr>
        <w:spacing w:line="480" w:lineRule="auto"/>
        <w:jc w:val="center"/>
        <w:rPr>
          <w:rFonts w:ascii="Garamond" w:hAnsi="Garamond" w:cs="Times New Roman"/>
          <w:b/>
          <w:bCs/>
          <w:sz w:val="30"/>
          <w:szCs w:val="30"/>
        </w:rPr>
      </w:pPr>
      <w:r>
        <w:rPr>
          <w:rFonts w:ascii="Garamond" w:hAnsi="Garamond" w:cs="Times New Roman"/>
          <w:b/>
          <w:bCs/>
          <w:sz w:val="30"/>
          <w:szCs w:val="30"/>
        </w:rPr>
        <w:t xml:space="preserve">Climate Change and Diversity and Quality of Food-away-from-home: Evidence from A Large-scale Chain Restaurant </w:t>
      </w:r>
    </w:p>
    <w:p w14:paraId="59687E60">
      <w:pPr>
        <w:spacing w:line="480" w:lineRule="auto"/>
        <w:jc w:val="center"/>
        <w:rPr>
          <w:rFonts w:ascii="Garamond" w:hAnsi="Garamond" w:cs="Times New Roman"/>
          <w:b/>
          <w:bCs/>
          <w:sz w:val="30"/>
          <w:szCs w:val="30"/>
        </w:rPr>
      </w:pPr>
    </w:p>
    <w:p w14:paraId="2D07861E">
      <w:pPr>
        <w:spacing w:line="480" w:lineRule="auto"/>
        <w:jc w:val="center"/>
        <w:rPr>
          <w:rFonts w:ascii="Garamond" w:hAnsi="Garamond" w:cs="Times New Roman"/>
          <w:b/>
          <w:bCs/>
          <w:sz w:val="30"/>
          <w:szCs w:val="30"/>
        </w:rPr>
      </w:pPr>
    </w:p>
    <w:p w14:paraId="3C6E7428">
      <w:pPr>
        <w:spacing w:line="0" w:lineRule="atLeast"/>
        <w:jc w:val="center"/>
        <w:rPr>
          <w:rFonts w:ascii="Garamond" w:hAnsi="Garamond" w:cs="Times New Roman"/>
          <w:sz w:val="24"/>
          <w:szCs w:val="24"/>
        </w:rPr>
      </w:pPr>
      <w:r>
        <w:rPr>
          <w:rFonts w:hint="eastAsia" w:ascii="Garamond" w:hAnsi="Garamond" w:cs="Times New Roman"/>
          <w:sz w:val="24"/>
          <w:szCs w:val="24"/>
        </w:rPr>
        <w:t>Chen Zhu</w:t>
      </w:r>
    </w:p>
    <w:p w14:paraId="2B3A018E">
      <w:pPr>
        <w:spacing w:line="0" w:lineRule="atLeast"/>
        <w:jc w:val="center"/>
        <w:rPr>
          <w:rFonts w:ascii="Garamond" w:hAnsi="Garamond" w:cs="Times New Roman"/>
          <w:sz w:val="24"/>
          <w:szCs w:val="24"/>
        </w:rPr>
      </w:pPr>
      <w:r>
        <w:rPr>
          <w:rFonts w:hint="eastAsia" w:ascii="Garamond" w:hAnsi="Garamond" w:cs="Times New Roman"/>
          <w:sz w:val="24"/>
          <w:szCs w:val="24"/>
        </w:rPr>
        <w:t xml:space="preserve">China Agricultural University </w:t>
      </w:r>
    </w:p>
    <w:p w14:paraId="209FA95E">
      <w:pPr>
        <w:spacing w:line="480" w:lineRule="auto"/>
        <w:jc w:val="center"/>
        <w:rPr>
          <w:rFonts w:ascii="Garamond" w:hAnsi="Garamond" w:cs="Times New Roman"/>
          <w:sz w:val="24"/>
          <w:szCs w:val="24"/>
        </w:rPr>
      </w:pPr>
    </w:p>
    <w:p w14:paraId="31259265">
      <w:pPr>
        <w:spacing w:line="0" w:lineRule="atLeast"/>
        <w:jc w:val="center"/>
        <w:rPr>
          <w:rFonts w:ascii="Garamond" w:hAnsi="Garamond" w:cs="Times New Roman"/>
          <w:sz w:val="24"/>
          <w:szCs w:val="24"/>
        </w:rPr>
      </w:pPr>
      <w:r>
        <w:rPr>
          <w:rFonts w:hint="eastAsia" w:ascii="Garamond" w:hAnsi="Garamond" w:cs="Times New Roman"/>
          <w:sz w:val="24"/>
          <w:szCs w:val="24"/>
        </w:rPr>
        <w:t>Rigoberto Lopez</w:t>
      </w:r>
    </w:p>
    <w:p w14:paraId="65F72E34">
      <w:pPr>
        <w:spacing w:line="0" w:lineRule="atLeast"/>
        <w:jc w:val="center"/>
        <w:rPr>
          <w:rFonts w:ascii="Garamond" w:hAnsi="Garamond" w:cs="Times New Roman"/>
          <w:sz w:val="24"/>
          <w:szCs w:val="24"/>
        </w:rPr>
      </w:pPr>
      <w:r>
        <w:rPr>
          <w:rFonts w:hint="eastAsia" w:ascii="Garamond" w:hAnsi="Garamond" w:cs="Times New Roman"/>
          <w:sz w:val="24"/>
          <w:szCs w:val="24"/>
        </w:rPr>
        <w:t>University of Connecticut</w:t>
      </w:r>
    </w:p>
    <w:p w14:paraId="645020CF">
      <w:pPr>
        <w:spacing w:line="480" w:lineRule="auto"/>
        <w:jc w:val="center"/>
        <w:rPr>
          <w:rFonts w:ascii="Garamond" w:hAnsi="Garamond" w:cs="Times New Roman"/>
          <w:sz w:val="24"/>
          <w:szCs w:val="24"/>
        </w:rPr>
      </w:pPr>
    </w:p>
    <w:p w14:paraId="201AC62C">
      <w:pPr>
        <w:spacing w:line="0" w:lineRule="atLeast"/>
        <w:jc w:val="center"/>
        <w:rPr>
          <w:rFonts w:ascii="Garamond" w:hAnsi="Garamond" w:cs="Times New Roman"/>
          <w:sz w:val="24"/>
          <w:szCs w:val="24"/>
        </w:rPr>
      </w:pPr>
      <w:r>
        <w:rPr>
          <w:rFonts w:hint="eastAsia" w:ascii="Garamond" w:hAnsi="Garamond" w:cs="Times New Roman"/>
          <w:sz w:val="24"/>
          <w:szCs w:val="24"/>
        </w:rPr>
        <w:t>Xiaoou Liu</w:t>
      </w:r>
    </w:p>
    <w:p w14:paraId="319E9831">
      <w:pPr>
        <w:spacing w:line="0" w:lineRule="atLeast"/>
        <w:jc w:val="center"/>
        <w:rPr>
          <w:rFonts w:ascii="Garamond" w:hAnsi="Garamond" w:cs="Times New Roman"/>
          <w:sz w:val="24"/>
          <w:szCs w:val="24"/>
        </w:rPr>
      </w:pPr>
      <w:r>
        <w:rPr>
          <w:rFonts w:ascii="Garamond" w:hAnsi="Garamond" w:cs="Times New Roman"/>
          <w:sz w:val="24"/>
          <w:szCs w:val="24"/>
        </w:rPr>
        <w:t>R</w:t>
      </w:r>
      <w:r>
        <w:rPr>
          <w:rFonts w:hint="eastAsia" w:ascii="Garamond" w:hAnsi="Garamond" w:cs="Times New Roman"/>
          <w:sz w:val="24"/>
          <w:szCs w:val="24"/>
        </w:rPr>
        <w:t>enmin University of China</w:t>
      </w:r>
    </w:p>
    <w:p w14:paraId="151948F3">
      <w:pPr>
        <w:spacing w:line="480" w:lineRule="auto"/>
        <w:jc w:val="center"/>
        <w:rPr>
          <w:rFonts w:ascii="Garamond" w:hAnsi="Garamond" w:cs="Times New Roman"/>
          <w:sz w:val="24"/>
          <w:szCs w:val="24"/>
        </w:rPr>
      </w:pPr>
    </w:p>
    <w:p w14:paraId="4264FDDB">
      <w:pPr>
        <w:spacing w:line="0" w:lineRule="atLeast"/>
        <w:jc w:val="center"/>
        <w:rPr>
          <w:rFonts w:ascii="Garamond" w:hAnsi="Garamond" w:cs="Times New Roman"/>
          <w:sz w:val="24"/>
          <w:szCs w:val="24"/>
        </w:rPr>
      </w:pPr>
      <w:r>
        <w:rPr>
          <w:rFonts w:hint="eastAsia" w:ascii="Garamond" w:hAnsi="Garamond" w:cs="Times New Roman"/>
          <w:sz w:val="24"/>
          <w:szCs w:val="24"/>
        </w:rPr>
        <w:t>Xun Li*</w:t>
      </w:r>
    </w:p>
    <w:p w14:paraId="06E462FF">
      <w:pPr>
        <w:spacing w:line="0" w:lineRule="atLeast"/>
        <w:jc w:val="center"/>
        <w:rPr>
          <w:rFonts w:hint="eastAsia" w:ascii="Garamond" w:hAnsi="Garamond" w:cs="Times New Roman"/>
          <w:sz w:val="24"/>
          <w:szCs w:val="24"/>
        </w:rPr>
      </w:pPr>
      <w:r>
        <w:rPr>
          <w:rFonts w:hint="eastAsia" w:ascii="Garamond" w:hAnsi="Garamond" w:cs="Times New Roman"/>
          <w:sz w:val="24"/>
          <w:szCs w:val="24"/>
        </w:rPr>
        <w:t xml:space="preserve">Wuhan University </w:t>
      </w:r>
    </w:p>
    <w:p w14:paraId="14DC2B2A">
      <w:pPr>
        <w:spacing w:line="480" w:lineRule="auto"/>
        <w:rPr>
          <w:rFonts w:ascii="Garamond" w:hAnsi="Garamond" w:cs="Times New Roman"/>
          <w:sz w:val="30"/>
          <w:szCs w:val="30"/>
        </w:rPr>
      </w:pPr>
    </w:p>
    <w:p w14:paraId="0E221E94">
      <w:pPr>
        <w:spacing w:line="480" w:lineRule="auto"/>
        <w:rPr>
          <w:rFonts w:hint="eastAsia" w:ascii="Garamond" w:hAnsi="Garamond" w:cs="Times New Roman"/>
          <w:sz w:val="30"/>
          <w:szCs w:val="30"/>
        </w:rPr>
      </w:pPr>
    </w:p>
    <w:p w14:paraId="47407FCB">
      <w:pPr>
        <w:spacing w:line="480" w:lineRule="auto"/>
        <w:ind w:firstLine="840" w:firstLineChars="300"/>
        <w:rPr>
          <w:rFonts w:ascii="Garamond" w:hAnsi="Garamond" w:cs="Times New Roman"/>
          <w:sz w:val="28"/>
          <w:szCs w:val="28"/>
        </w:rPr>
      </w:pPr>
    </w:p>
    <w:p w14:paraId="068BFA99">
      <w:pPr>
        <w:spacing w:line="480" w:lineRule="auto"/>
        <w:ind w:firstLine="840" w:firstLineChars="300"/>
        <w:rPr>
          <w:rFonts w:ascii="Garamond" w:hAnsi="Garamond" w:cs="Times New Roman"/>
          <w:sz w:val="28"/>
          <w:szCs w:val="28"/>
        </w:rPr>
      </w:pPr>
    </w:p>
    <w:p w14:paraId="2E75C54A">
      <w:pPr>
        <w:spacing w:line="480" w:lineRule="auto"/>
        <w:ind w:firstLine="840" w:firstLineChars="300"/>
        <w:rPr>
          <w:rFonts w:ascii="Garamond" w:hAnsi="Garamond" w:cs="Times New Roman"/>
          <w:sz w:val="28"/>
          <w:szCs w:val="28"/>
        </w:rPr>
      </w:pPr>
    </w:p>
    <w:p w14:paraId="62B34973">
      <w:pPr>
        <w:spacing w:line="480" w:lineRule="auto"/>
        <w:ind w:firstLine="840" w:firstLineChars="300"/>
        <w:rPr>
          <w:rFonts w:ascii="Garamond" w:hAnsi="Garamond" w:cs="Times New Roman"/>
          <w:sz w:val="28"/>
          <w:szCs w:val="28"/>
        </w:rPr>
      </w:pPr>
    </w:p>
    <w:p w14:paraId="261478F4">
      <w:pPr>
        <w:spacing w:line="480" w:lineRule="auto"/>
        <w:jc w:val="left"/>
        <w:rPr>
          <w:rFonts w:hint="eastAsia" w:ascii="Garamond" w:hAnsi="Garamond" w:cs="Times New Roman"/>
          <w:sz w:val="28"/>
          <w:szCs w:val="28"/>
        </w:rPr>
      </w:pPr>
      <w:r>
        <w:rPr>
          <w:rFonts w:hint="eastAsia" w:ascii="Garamond" w:hAnsi="Garamond" w:cs="Times New Roman"/>
          <w:sz w:val="28"/>
          <w:szCs w:val="28"/>
        </w:rPr>
        <w:t>______________________________</w:t>
      </w:r>
    </w:p>
    <w:p w14:paraId="035EC621">
      <w:pPr>
        <w:spacing w:line="0" w:lineRule="atLeast"/>
        <w:jc w:val="left"/>
        <w:rPr>
          <w:rFonts w:ascii="Garamond" w:hAnsi="Garamond" w:cs="Times New Roman"/>
          <w:sz w:val="24"/>
          <w:szCs w:val="24"/>
        </w:rPr>
      </w:pPr>
      <w:r>
        <w:rPr>
          <w:rFonts w:ascii="Garamond" w:hAnsi="Garamond" w:cs="Times New Roman"/>
          <w:sz w:val="24"/>
          <w:szCs w:val="24"/>
        </w:rPr>
        <w:t>*</w:t>
      </w:r>
      <w:bookmarkStart w:id="3" w:name="_GoBack"/>
      <w:bookmarkEnd w:id="3"/>
      <w:r>
        <w:rPr>
          <w:rFonts w:ascii="Garamond" w:hAnsi="Garamond" w:cs="Times New Roman"/>
          <w:sz w:val="24"/>
          <w:szCs w:val="24"/>
        </w:rPr>
        <w:t xml:space="preserve">School of Economics and Management, Wuhan University. </w:t>
      </w:r>
    </w:p>
    <w:p w14:paraId="27EC3EE7">
      <w:pPr>
        <w:spacing w:line="0" w:lineRule="atLeast"/>
        <w:jc w:val="left"/>
        <w:rPr>
          <w:rFonts w:ascii="Garamond" w:hAnsi="Garamond" w:cs="Times New Roman"/>
          <w:sz w:val="24"/>
          <w:szCs w:val="24"/>
        </w:rPr>
      </w:pPr>
      <w:r>
        <w:rPr>
          <w:rFonts w:ascii="Garamond" w:hAnsi="Garamond" w:cs="Times New Roman"/>
          <w:sz w:val="24"/>
          <w:szCs w:val="24"/>
        </w:rPr>
        <w:t xml:space="preserve">Email: </w:t>
      </w:r>
      <w:r>
        <w:fldChar w:fldCharType="begin"/>
      </w:r>
      <w:r>
        <w:instrText xml:space="preserve"> HYPERLINK "mailto:li.xun@whu.edu.cn" </w:instrText>
      </w:r>
      <w:r>
        <w:fldChar w:fldCharType="separate"/>
      </w:r>
      <w:r>
        <w:rPr>
          <w:rFonts w:ascii="Garamond" w:hAnsi="Garamond"/>
          <w:sz w:val="24"/>
          <w:szCs w:val="24"/>
        </w:rPr>
        <w:t>li.xun@whu.edu.cn</w:t>
      </w:r>
      <w:r>
        <w:rPr>
          <w:rFonts w:ascii="Garamond" w:hAnsi="Garamond"/>
          <w:sz w:val="24"/>
          <w:szCs w:val="24"/>
        </w:rPr>
        <w:fldChar w:fldCharType="end"/>
      </w:r>
    </w:p>
    <w:p w14:paraId="1A14AC85">
      <w:pPr>
        <w:spacing w:line="480" w:lineRule="auto"/>
        <w:ind w:firstLine="840" w:firstLineChars="300"/>
        <w:rPr>
          <w:rFonts w:ascii="Garamond" w:hAnsi="Garamond" w:cs="Times New Roman"/>
          <w:b/>
          <w:bCs/>
          <w:sz w:val="28"/>
          <w:szCs w:val="28"/>
        </w:rPr>
      </w:pPr>
      <w:r>
        <w:rPr>
          <w:rFonts w:ascii="Garamond" w:hAnsi="Garamond" w:cs="Times New Roman"/>
          <w:sz w:val="28"/>
          <w:szCs w:val="28"/>
        </w:rPr>
        <w:br w:type="page"/>
      </w:r>
    </w:p>
    <w:p w14:paraId="475B78C9">
      <w:pPr>
        <w:spacing w:line="480" w:lineRule="auto"/>
        <w:jc w:val="center"/>
        <w:rPr>
          <w:rFonts w:ascii="Garamond" w:hAnsi="Garamond" w:cs="Times New Roman"/>
          <w:b/>
          <w:bCs/>
          <w:sz w:val="30"/>
          <w:szCs w:val="30"/>
        </w:rPr>
      </w:pPr>
    </w:p>
    <w:p w14:paraId="3E3732DE">
      <w:pPr>
        <w:spacing w:line="480" w:lineRule="auto"/>
        <w:jc w:val="center"/>
        <w:rPr>
          <w:rFonts w:ascii="Garamond" w:hAnsi="Garamond" w:cs="Times New Roman"/>
          <w:b/>
          <w:bCs/>
          <w:sz w:val="30"/>
          <w:szCs w:val="30"/>
        </w:rPr>
      </w:pPr>
      <w:r>
        <w:rPr>
          <w:rFonts w:ascii="Garamond" w:hAnsi="Garamond" w:cs="Times New Roman"/>
          <w:b/>
          <w:bCs/>
          <w:sz w:val="30"/>
          <w:szCs w:val="30"/>
        </w:rPr>
        <w:t xml:space="preserve">Climate Change and Diversity and Quality of Food-away-from-home: Evidence from A Large-scale Chain Restaurant </w:t>
      </w:r>
    </w:p>
    <w:p w14:paraId="5248ABF8">
      <w:pPr>
        <w:spacing w:line="480" w:lineRule="auto"/>
        <w:jc w:val="center"/>
        <w:rPr>
          <w:rFonts w:ascii="Garamond" w:hAnsi="Garamond" w:cs="Times New Roman"/>
          <w:b/>
          <w:bCs/>
          <w:sz w:val="24"/>
          <w:szCs w:val="24"/>
        </w:rPr>
      </w:pPr>
    </w:p>
    <w:p w14:paraId="06204DF2">
      <w:pPr>
        <w:widowControl/>
        <w:spacing w:line="480" w:lineRule="auto"/>
        <w:jc w:val="center"/>
        <w:rPr>
          <w:rFonts w:ascii="Garamond" w:hAnsi="Garamond" w:cs="Times New Roman"/>
          <w:b/>
          <w:bCs/>
          <w:sz w:val="24"/>
          <w:szCs w:val="24"/>
        </w:rPr>
      </w:pPr>
      <w:r>
        <w:rPr>
          <w:rFonts w:ascii="Garamond" w:hAnsi="Garamond" w:cs="Times New Roman"/>
          <w:b/>
          <w:bCs/>
          <w:sz w:val="24"/>
          <w:szCs w:val="24"/>
        </w:rPr>
        <w:t>Abstract</w:t>
      </w:r>
    </w:p>
    <w:p w14:paraId="1553DD6F">
      <w:pPr>
        <w:spacing w:line="480" w:lineRule="auto"/>
        <w:rPr>
          <w:rFonts w:ascii="Garamond" w:hAnsi="Garamond" w:cs="Times New Roman"/>
          <w:sz w:val="24"/>
          <w:szCs w:val="24"/>
        </w:rPr>
      </w:pPr>
      <w:r>
        <w:rPr>
          <w:rFonts w:ascii="Garamond" w:hAnsi="Garamond" w:cs="Times New Roman"/>
          <w:sz w:val="24"/>
          <w:szCs w:val="24"/>
        </w:rPr>
        <w:t>Climate change is anticipated to have profound effects, impacting both food producers and consumers. This study explores the repercussions of climate change on food-away-from-home (FAFH) meal quality in China. Leveraging a unique dataset comprising 15,420,075 restaurant transactions spanning the years 2016 to 2020 across 17 Chinese cities, alongside daily climate data and comprehensive nutritional information, we empirically examine the impact of climate change on FAFH meal diversity, imbalance, and overall quality. Employing high-dimensional fixed effects (HDFE) models, our findings reveal that extreme high temperatures and heat waves lead to a reduction in meal diversity and balance, culminating in an overall decline in FAFH meal quality. We also address the potential sample selection by examin</w:t>
      </w:r>
      <w:r>
        <w:rPr>
          <w:rFonts w:hint="eastAsia" w:ascii="Garamond" w:hAnsi="Garamond" w:cs="Times New Roman"/>
          <w:sz w:val="24"/>
          <w:szCs w:val="24"/>
        </w:rPr>
        <w:t>ing</w:t>
      </w:r>
      <w:r>
        <w:rPr>
          <w:rFonts w:ascii="Garamond" w:hAnsi="Garamond" w:cs="Times New Roman"/>
          <w:sz w:val="24"/>
          <w:szCs w:val="24"/>
        </w:rPr>
        <w:t xml:space="preserve"> the impacts of temperature and heat waves by group size as larger dining groups, comprising more than two customers, are more likely to have pre-scheduled or booked their reservations, making them less sensitive to immediate weather conditions. This research underscores the profound impact of climate change on food consumption behaviors and quality from the consumer perspective, while emphasizing the potential co-benefits of climate action for environmental sustainability and public health. </w:t>
      </w:r>
    </w:p>
    <w:p w14:paraId="6FC70078">
      <w:pPr>
        <w:spacing w:line="480" w:lineRule="auto"/>
        <w:rPr>
          <w:rFonts w:ascii="Garamond" w:hAnsi="Garamond" w:cs="Times New Roman"/>
          <w:sz w:val="24"/>
          <w:szCs w:val="24"/>
        </w:rPr>
      </w:pPr>
    </w:p>
    <w:p w14:paraId="7B7A1D8F">
      <w:pPr>
        <w:spacing w:line="480" w:lineRule="auto"/>
        <w:jc w:val="left"/>
        <w:rPr>
          <w:rFonts w:ascii="Garamond" w:hAnsi="Garamond" w:cs="Times New Roman"/>
          <w:sz w:val="24"/>
          <w:szCs w:val="24"/>
        </w:rPr>
      </w:pPr>
      <w:r>
        <w:rPr>
          <w:rFonts w:ascii="Garamond" w:hAnsi="Garamond" w:cs="Times New Roman"/>
          <w:b/>
          <w:bCs/>
          <w:sz w:val="24"/>
          <w:szCs w:val="24"/>
        </w:rPr>
        <w:t>Keywords</w:t>
      </w:r>
      <w:r>
        <w:rPr>
          <w:rFonts w:ascii="Garamond" w:hAnsi="Garamond" w:cs="Times New Roman"/>
          <w:sz w:val="24"/>
          <w:szCs w:val="24"/>
        </w:rPr>
        <w:t>: food-away-from-home</w:t>
      </w:r>
      <w:r>
        <w:rPr>
          <w:rFonts w:hint="eastAsia" w:ascii="Garamond" w:hAnsi="Garamond" w:cs="Times New Roman"/>
          <w:sz w:val="24"/>
          <w:szCs w:val="24"/>
        </w:rPr>
        <w:t>;</w:t>
      </w:r>
      <w:r>
        <w:rPr>
          <w:rFonts w:ascii="Garamond" w:hAnsi="Garamond" w:cs="Times New Roman"/>
          <w:sz w:val="24"/>
          <w:szCs w:val="24"/>
        </w:rPr>
        <w:t xml:space="preserve"> climate change</w:t>
      </w:r>
      <w:r>
        <w:rPr>
          <w:rFonts w:hint="eastAsia" w:ascii="Garamond" w:hAnsi="Garamond" w:cs="Times New Roman"/>
          <w:sz w:val="24"/>
          <w:szCs w:val="24"/>
        </w:rPr>
        <w:t>;</w:t>
      </w:r>
      <w:r>
        <w:rPr>
          <w:rFonts w:ascii="Garamond" w:hAnsi="Garamond" w:cs="Times New Roman"/>
          <w:sz w:val="24"/>
          <w:szCs w:val="24"/>
        </w:rPr>
        <w:t xml:space="preserve"> food consumption</w:t>
      </w:r>
      <w:r>
        <w:rPr>
          <w:rFonts w:hint="eastAsia" w:ascii="Garamond" w:hAnsi="Garamond" w:cs="Times New Roman"/>
          <w:sz w:val="24"/>
          <w:szCs w:val="24"/>
        </w:rPr>
        <w:t>;</w:t>
      </w:r>
      <w:r>
        <w:rPr>
          <w:rFonts w:ascii="Garamond" w:hAnsi="Garamond" w:cs="Times New Roman"/>
          <w:sz w:val="24"/>
          <w:szCs w:val="24"/>
        </w:rPr>
        <w:t xml:space="preserve"> meal quality</w:t>
      </w:r>
    </w:p>
    <w:p w14:paraId="7FA4556F">
      <w:pPr>
        <w:spacing w:line="480" w:lineRule="auto"/>
        <w:jc w:val="left"/>
        <w:rPr>
          <w:rFonts w:hint="eastAsia" w:ascii="Garamond" w:hAnsi="Garamond" w:cs="Times New Roman"/>
          <w:b/>
          <w:bCs/>
          <w:sz w:val="24"/>
          <w:szCs w:val="24"/>
        </w:rPr>
      </w:pPr>
      <w:r>
        <w:rPr>
          <w:rFonts w:ascii="Garamond" w:hAnsi="Garamond" w:cs="Times New Roman"/>
          <w:b/>
          <w:bCs/>
          <w:sz w:val="24"/>
          <w:szCs w:val="24"/>
        </w:rPr>
        <w:t xml:space="preserve">JEL </w:t>
      </w:r>
      <w:r>
        <w:rPr>
          <w:rFonts w:hint="eastAsia" w:ascii="Garamond" w:hAnsi="Garamond" w:cs="Times New Roman"/>
          <w:b/>
          <w:bCs/>
          <w:sz w:val="24"/>
          <w:szCs w:val="24"/>
        </w:rPr>
        <w:t>Classification</w:t>
      </w:r>
      <w:r>
        <w:rPr>
          <w:rFonts w:hint="eastAsia" w:ascii="Garamond" w:hAnsi="Garamond" w:cs="Times New Roman"/>
          <w:sz w:val="24"/>
          <w:szCs w:val="24"/>
        </w:rPr>
        <w:t>: Q54 I12 Q56</w:t>
      </w:r>
    </w:p>
    <w:p w14:paraId="3DBBDA61">
      <w:pPr>
        <w:spacing w:line="480" w:lineRule="auto"/>
        <w:jc w:val="left"/>
        <w:rPr>
          <w:rFonts w:ascii="Garamond" w:hAnsi="Garamond" w:cs="Times New Roman"/>
          <w:sz w:val="24"/>
          <w:szCs w:val="24"/>
        </w:rPr>
      </w:pPr>
    </w:p>
    <w:p w14:paraId="7F24EE46">
      <w:pPr>
        <w:spacing w:line="480" w:lineRule="auto"/>
        <w:jc w:val="left"/>
        <w:rPr>
          <w:rFonts w:ascii="Garamond" w:hAnsi="Garamond" w:cs="Times New Roman"/>
          <w:b/>
          <w:bCs/>
          <w:sz w:val="28"/>
          <w:szCs w:val="28"/>
        </w:rPr>
      </w:pPr>
      <w:r>
        <w:rPr>
          <w:rFonts w:ascii="Garamond" w:hAnsi="Garamond" w:cs="Times New Roman"/>
          <w:b/>
          <w:bCs/>
          <w:sz w:val="28"/>
          <w:szCs w:val="28"/>
        </w:rPr>
        <w:t>1. Introduction</w:t>
      </w:r>
    </w:p>
    <w:p w14:paraId="0767E2B6">
      <w:pPr>
        <w:spacing w:line="480" w:lineRule="auto"/>
        <w:rPr>
          <w:rFonts w:ascii="Garamond" w:hAnsi="Garamond" w:cs="Times New Roman"/>
          <w:sz w:val="24"/>
          <w:szCs w:val="24"/>
        </w:rPr>
      </w:pPr>
      <w:r>
        <w:rPr>
          <w:rFonts w:ascii="Garamond" w:hAnsi="Garamond" w:cs="Times New Roman"/>
          <w:sz w:val="24"/>
          <w:szCs w:val="24"/>
        </w:rPr>
        <w:t xml:space="preserve">Climate change encompasses a range of consequences, including rising temperatures, extreme weather events, and rising sea levels (Van Aalst, 2006). Evidence has shown that many regions around the world are already experiencing an increase in temperatures and more frequent heat waves (IPCC, 2022; Milman, 2022). In agro-food systems, climate change is expected to have an adverse impact on both producers and consumers. The effects of climate change on food systems include challenges related to production, distribution, and access to food. These challenges will, in turn, have negative impacts on food security and nutrition, particularly in vulnerable populations and developing countries. </w:t>
      </w:r>
    </w:p>
    <w:p w14:paraId="21E62884">
      <w:pPr>
        <w:spacing w:line="480" w:lineRule="auto"/>
        <w:ind w:firstLine="418"/>
        <w:rPr>
          <w:rFonts w:ascii="Garamond" w:hAnsi="Garamond" w:cs="Times New Roman"/>
          <w:sz w:val="24"/>
          <w:szCs w:val="24"/>
        </w:rPr>
      </w:pPr>
      <w:r>
        <w:rPr>
          <w:rFonts w:ascii="Garamond" w:hAnsi="Garamond" w:cs="Times New Roman"/>
          <w:sz w:val="24"/>
          <w:szCs w:val="24"/>
        </w:rPr>
        <w:t>Previous research has primarily focused on the impact of climate change on agricultural production and therefore food security, as global warming and extreme temperatures can significantly reduce output (Deschênes and Greenstone, 2012; Wheeler and Von Braun, 2013; Burke and Emerick, 2016; Aragón et al., 2021; IPCC, 2014; Singh et al., 2022). However, the effects of climate change on the dietary behavior of consumers after controlling food prices and income, are equally important, as they are closely linked to diet quality and health. Recent studies by Niles et al. (2021) and van der Merwe et al. (2022), which draw on annual diet and weather data from Africa, have illustrated that climate change can lead to decreased child diet diversity and increased malnutrition. These findings are largely explained to alterations in crop growth and food security conditions. On the other hand, there remains a notable gap in our understanding concerning how immediate consequences of rising temperatures and extreme weather events affect the quality of consumers’ diets. This gap is especially pronounced in urban settings where food-away-from-home (FAFH) consumption is prevalent. Therefore, further research is necessary to understand better the impact of climate change on consumer dietary behavior, particularly in urban area and in the wake of recent climate events.</w:t>
      </w:r>
    </w:p>
    <w:p w14:paraId="31C57553">
      <w:pPr>
        <w:spacing w:line="480" w:lineRule="auto"/>
        <w:ind w:firstLine="418"/>
        <w:rPr>
          <w:rFonts w:ascii="Garamond" w:hAnsi="Garamond" w:cs="Times New Roman"/>
          <w:sz w:val="24"/>
          <w:szCs w:val="24"/>
        </w:rPr>
      </w:pPr>
      <w:r>
        <w:rPr>
          <w:rFonts w:ascii="Garamond" w:hAnsi="Garamond" w:cs="Times New Roman"/>
          <w:sz w:val="24"/>
          <w:szCs w:val="24"/>
        </w:rPr>
        <w:t xml:space="preserve">The interplay between climate change and diet quality is a multifaceted issue, with numerous factors contributing to its complexity. One key aspect is the impact of climate change-induced extreme weather events on consumers’ food environment and accessibility. Such events can disrupt food production and supply chains, leading to higher prices and decreased availability of certain foods. These effects are further compounded by the negative impacts of rising temperatures on agricultural yields, potentially reducing the variety and quality of foods available to consumers. Additionally, changes in weather conditions can directly affect consumers’ dietary choices and eating behaviors. Exposure to hot ambient temperatures, for example, has been linked to decreased energy intake and appetite suppression (Richardson et al., 2018; Zakrzewski-Fruer et al., 2021). These physiological and psychological thermal adaptations may influence consumers’ food preferences and lead to altered dietary patterns. Furthermore, exposure to extreme temperatures may have broader impacts on consumers’ cognitive function, mental health, and overall wellbeing, affecting their decision-making processes when selecting foods (Zivin et al., 2020; Fishman et al., 2019; Hua et al., 2022). </w:t>
      </w:r>
    </w:p>
    <w:p w14:paraId="0DFC7C4C">
      <w:pPr>
        <w:spacing w:line="480" w:lineRule="auto"/>
        <w:ind w:firstLine="420"/>
        <w:rPr>
          <w:rFonts w:ascii="Garamond" w:hAnsi="Garamond" w:cs="Times New Roman"/>
          <w:sz w:val="24"/>
          <w:szCs w:val="24"/>
        </w:rPr>
      </w:pPr>
      <w:r>
        <w:rPr>
          <w:rFonts w:ascii="Garamond" w:hAnsi="Garamond" w:cs="Times New Roman"/>
          <w:sz w:val="24"/>
          <w:szCs w:val="24"/>
        </w:rPr>
        <w:t xml:space="preserve">This study aims to investigate the relationship between climate change and consumers’ meal diversity, balance, and quality using a unique dataset of 15.4 million high-frequency restaurant transactions from 17 Chinese cities between 2016 and 2020. The study focuses on urban areas, where over half of the global population resides, and food-away-from-home consumption is prevalent. Dining out has become a ubiquitous practice and an essential part of urban lifestyle in China, making food-away-from-home an important component of the Chinese diet and accounting for a significant portion of food expenditures (Liu et al., 2015). For instance, in 2019, consumer spending in restaurants grew at a rate of 10 percent, accounting for over 55 percent of total food expenditures in China (Zhu et al., 2021). By examining the impact of climate change on meal diversity, balance, and quality, this study sheds light on the implications of climate change for food consumption patterns and related health outcomes in urban China. </w:t>
      </w:r>
    </w:p>
    <w:p w14:paraId="48BA6AF6">
      <w:pPr>
        <w:spacing w:line="480" w:lineRule="auto"/>
        <w:ind w:firstLine="420"/>
        <w:rPr>
          <w:rFonts w:ascii="Garamond" w:hAnsi="Garamond" w:cs="Times New Roman"/>
          <w:sz w:val="24"/>
          <w:szCs w:val="24"/>
        </w:rPr>
      </w:pPr>
      <w:r>
        <w:rPr>
          <w:rFonts w:ascii="Garamond" w:hAnsi="Garamond" w:cs="Times New Roman"/>
          <w:sz w:val="24"/>
          <w:szCs w:val="24"/>
        </w:rPr>
        <w:t xml:space="preserve">To accurately estimate the impact of climate change, we match daily climate records from the meteorological station nearest to each restaurant site, using the China surface climate daily data set from the China Meteorological Administration (2023), which provides complete daily information on temperature, precipitation, and wind speed from 699 meteorological stations in China. We also construct a binary climate variable to indicate whether an order was made during a heat wave, which is defined as consecutive days of high-temperature exposure when daily mean temperatures exceed the 90th percentile of local temperatures for at least two successive days (Kent et al., 2014). </w:t>
      </w:r>
    </w:p>
    <w:p w14:paraId="7BB7D9EA">
      <w:pPr>
        <w:spacing w:line="480" w:lineRule="auto"/>
        <w:ind w:firstLine="420"/>
        <w:rPr>
          <w:rFonts w:ascii="Garamond" w:hAnsi="Garamond" w:cs="Times New Roman"/>
          <w:sz w:val="24"/>
          <w:szCs w:val="24"/>
        </w:rPr>
      </w:pPr>
      <w:r>
        <w:rPr>
          <w:rFonts w:ascii="Garamond" w:hAnsi="Garamond" w:cs="Times New Roman"/>
          <w:sz w:val="24"/>
          <w:szCs w:val="24"/>
        </w:rPr>
        <w:t>Furthermore, we have detailed data on the ingredients and precise amounts used in each dish for each order, which enables us to construct a variety of dietary measures based on food groups. Specifically, we use the Individual Diet Diversity Score (IDDS) to measure meal diversity, as recommended by the Food and Agriculture Organization (FAO) guidelines (Kennedy et al., 2011; Ganpule-Rao et al., 2021). We use the Diet Quality Distance (DQD) from the Chinese Diet Balance Index to measure meal imbalance (Xu et al., 2015). To measure overall meal quality, we use the Healthy Eating Index-2015 (HEI-2015), which is a validated measure of diet quality developed by the US Department of Agriculture (Krebs-Smith et al., 2018).</w:t>
      </w:r>
    </w:p>
    <w:p w14:paraId="004F69B0">
      <w:pPr>
        <w:spacing w:line="480" w:lineRule="auto"/>
        <w:ind w:firstLine="360" w:firstLineChars="150"/>
        <w:rPr>
          <w:rFonts w:ascii="Garamond" w:hAnsi="Garamond" w:cs="Times New Roman"/>
          <w:sz w:val="24"/>
          <w:szCs w:val="24"/>
        </w:rPr>
      </w:pPr>
      <w:r>
        <w:rPr>
          <w:rFonts w:ascii="Garamond" w:hAnsi="Garamond" w:cs="Times New Roman"/>
          <w:sz w:val="24"/>
          <w:szCs w:val="24"/>
        </w:rPr>
        <w:t>China’s diverse geography, coupled with recent extreme weather events and high rates of diet-related diseases, make it a compelling case study to explore the relationship between climate change and diet quality. The dataset employed in our current study pertains to a distinct latitude and longitude range, spanning from 102 to 122 degrees East and from 23 to 40 degrees North. This specific range provides a range of climatic conditions and geographical features that are conducive to robust model identification and analysis. Furthermore, the widespread impact of recent extreme weather events on over 900 million Chinese citizens provides a unique opportunity to estimate the social costs of climate change on diet quality. Given China’s ranking among countries with the highest rates of diet-related deaths globally (GBD 2017 Diet Collaborators, 2019), it is crucial to investigate the potential involvement of climate change in exacerbating the burden of diet-related diseases in the country.</w:t>
      </w:r>
    </w:p>
    <w:p w14:paraId="59F359B1">
      <w:pPr>
        <w:spacing w:line="480" w:lineRule="auto"/>
        <w:ind w:firstLine="720" w:firstLineChars="300"/>
        <w:rPr>
          <w:rFonts w:ascii="Garamond" w:hAnsi="Garamond" w:cs="Times New Roman"/>
          <w:sz w:val="24"/>
          <w:szCs w:val="24"/>
        </w:rPr>
      </w:pPr>
      <w:r>
        <w:rPr>
          <w:rFonts w:hint="eastAsia" w:ascii="Garamond" w:hAnsi="Garamond" w:cs="Times New Roman"/>
          <w:sz w:val="24"/>
          <w:szCs w:val="24"/>
        </w:rPr>
        <w:t xml:space="preserve">One major challenge of this research is the </w:t>
      </w:r>
      <w:r>
        <w:rPr>
          <w:rFonts w:ascii="Garamond" w:hAnsi="Garamond" w:cs="Times New Roman"/>
          <w:sz w:val="24"/>
          <w:szCs w:val="24"/>
        </w:rPr>
        <w:t>potential sample selection</w:t>
      </w:r>
      <w:r>
        <w:rPr>
          <w:rFonts w:hint="eastAsia" w:ascii="Garamond" w:hAnsi="Garamond" w:cs="Times New Roman"/>
          <w:sz w:val="24"/>
          <w:szCs w:val="24"/>
        </w:rPr>
        <w:t xml:space="preserve"> problem. </w:t>
      </w:r>
      <w:r>
        <w:rPr>
          <w:rFonts w:ascii="Garamond" w:hAnsi="Garamond" w:cs="Times New Roman"/>
          <w:sz w:val="24"/>
          <w:szCs w:val="24"/>
        </w:rPr>
        <w:t>We address the potential sample selection by examin</w:t>
      </w:r>
      <w:r>
        <w:rPr>
          <w:rFonts w:hint="eastAsia" w:ascii="Garamond" w:hAnsi="Garamond" w:cs="Times New Roman"/>
          <w:sz w:val="24"/>
          <w:szCs w:val="24"/>
        </w:rPr>
        <w:t>ing</w:t>
      </w:r>
      <w:r>
        <w:rPr>
          <w:rFonts w:ascii="Garamond" w:hAnsi="Garamond" w:cs="Times New Roman"/>
          <w:sz w:val="24"/>
          <w:szCs w:val="24"/>
        </w:rPr>
        <w:t xml:space="preserve"> the impacts of temperature and heat waves by group size as larger dining groups, comprising more than two customers, are more likely to have pre-scheduled or booked their reservations, making them less sensitive to immediate weather conditions.</w:t>
      </w:r>
      <w:r>
        <w:rPr>
          <w:rFonts w:hint="eastAsia" w:ascii="Garamond" w:hAnsi="Garamond" w:cs="Times New Roman"/>
          <w:sz w:val="24"/>
          <w:szCs w:val="24"/>
        </w:rPr>
        <w:t xml:space="preserve"> Overall, o</w:t>
      </w:r>
      <w:r>
        <w:rPr>
          <w:rFonts w:ascii="Garamond" w:hAnsi="Garamond" w:cs="Times New Roman"/>
          <w:sz w:val="24"/>
          <w:szCs w:val="24"/>
        </w:rPr>
        <w:t xml:space="preserve">ur findings reveal that extreme high temperatures and heat waves lead to a reduction in meal diversity and balance, culminating in an overall decline in FAFH meal quality. This research underscores the profound impact of climate change on food consumption behaviors and quality from the consumer perspective, while emphasizing the potential co-benefits of climate action for environmental sustainability and public health. </w:t>
      </w:r>
      <w:r>
        <w:rPr>
          <w:rFonts w:hint="eastAsia" w:ascii="Garamond" w:hAnsi="Garamond" w:cs="Times New Roman"/>
          <w:sz w:val="24"/>
          <w:szCs w:val="24"/>
        </w:rPr>
        <w:t>It contributes substantively to the existing body of literature concerning the impact of climate change on diet quality, encompassing considerations related to food supply, prices, and income. The rest of this paper is organized as follows: Section 2 describes the data and methodology; Section 3 reports the empirical results; Section 4 is a discussion on policy implication; Section 5 concludes the paper.</w:t>
      </w:r>
    </w:p>
    <w:p w14:paraId="508866B7">
      <w:pPr>
        <w:spacing w:line="480" w:lineRule="auto"/>
        <w:jc w:val="left"/>
        <w:rPr>
          <w:rFonts w:ascii="Garamond" w:hAnsi="Garamond" w:cs="Times New Roman"/>
          <w:sz w:val="24"/>
          <w:szCs w:val="24"/>
        </w:rPr>
      </w:pPr>
    </w:p>
    <w:p w14:paraId="56B7C839">
      <w:pPr>
        <w:spacing w:line="480" w:lineRule="auto"/>
        <w:jc w:val="left"/>
        <w:rPr>
          <w:rFonts w:ascii="Garamond" w:hAnsi="Garamond" w:cs="Times New Roman"/>
          <w:b/>
          <w:bCs/>
          <w:sz w:val="28"/>
          <w:szCs w:val="28"/>
        </w:rPr>
      </w:pPr>
      <w:r>
        <w:rPr>
          <w:rFonts w:ascii="Garamond" w:hAnsi="Garamond" w:cs="Times New Roman"/>
          <w:b/>
          <w:bCs/>
          <w:sz w:val="28"/>
          <w:szCs w:val="28"/>
        </w:rPr>
        <w:t>2. Data and method</w:t>
      </w:r>
    </w:p>
    <w:p w14:paraId="430548FA">
      <w:pPr>
        <w:spacing w:line="480" w:lineRule="auto"/>
        <w:rPr>
          <w:rFonts w:ascii="Garamond" w:hAnsi="Garamond" w:cs="Times New Roman"/>
          <w:sz w:val="24"/>
          <w:szCs w:val="24"/>
        </w:rPr>
      </w:pPr>
      <w:r>
        <w:rPr>
          <w:rFonts w:ascii="Garamond" w:hAnsi="Garamond" w:cs="Times New Roman"/>
          <w:iCs/>
          <w:sz w:val="24"/>
          <w:szCs w:val="24"/>
        </w:rPr>
        <w:t xml:space="preserve">To assess the impact of extreme weather on diet quality, we employ a unique, high-frequency, proprietary dataset of 15,420,075 restaurant transactions. </w:t>
      </w:r>
      <w:r>
        <w:rPr>
          <w:rFonts w:ascii="Garamond" w:hAnsi="Garamond" w:cs="Times New Roman"/>
          <w:sz w:val="24"/>
          <w:szCs w:val="24"/>
        </w:rPr>
        <w:t xml:space="preserve">The main </w:t>
      </w:r>
      <w:r>
        <w:rPr>
          <w:rFonts w:ascii="Garamond" w:hAnsi="Garamond" w:cs="Times New Roman"/>
          <w:sz w:val="24"/>
          <w:szCs w:val="24"/>
          <w:lang w:val="en-GB"/>
        </w:rPr>
        <w:t xml:space="preserve">dataset used in the empirical analysis </w:t>
      </w:r>
      <w:r>
        <w:rPr>
          <w:rFonts w:ascii="Garamond" w:hAnsi="Garamond" w:cs="Times New Roman"/>
          <w:sz w:val="24"/>
          <w:szCs w:val="24"/>
        </w:rPr>
        <w:t>comes from a major chain restaurant in China. The full dataset contains the complete sales records of transactions between January 1, 2016, and December 31, 2020, from 118 restaurants located in 17 cities in China.</w:t>
      </w:r>
      <w:r>
        <w:rPr>
          <w:rStyle w:val="14"/>
          <w:rFonts w:ascii="Garamond" w:hAnsi="Garamond" w:cs="Times New Roman"/>
          <w:sz w:val="24"/>
          <w:szCs w:val="24"/>
        </w:rPr>
        <w:footnoteReference w:id="0"/>
      </w:r>
      <w:r>
        <w:rPr>
          <w:rFonts w:ascii="Garamond" w:hAnsi="Garamond" w:cs="Times New Roman"/>
          <w:sz w:val="24"/>
          <w:szCs w:val="24"/>
        </w:rPr>
        <w:t xml:space="preserve"> For each order, we have a unique bill ID, the precise ordering/checkout time</w:t>
      </w:r>
      <w:r>
        <w:rPr>
          <w:rStyle w:val="14"/>
          <w:rFonts w:ascii="Garamond" w:hAnsi="Garamond" w:cs="Times New Roman"/>
          <w:sz w:val="24"/>
          <w:szCs w:val="24"/>
        </w:rPr>
        <w:footnoteReference w:id="1"/>
      </w:r>
      <w:r>
        <w:rPr>
          <w:rFonts w:ascii="Garamond" w:hAnsi="Garamond" w:cs="Times New Roman"/>
          <w:sz w:val="24"/>
          <w:szCs w:val="24"/>
        </w:rPr>
        <w:t xml:space="preserve">, the number of people in the dining group, the name and price of each dish ordered on that bill, and the total amount spent. </w:t>
      </w:r>
    </w:p>
    <w:p w14:paraId="39D939E6">
      <w:pPr>
        <w:spacing w:after="240" w:line="480" w:lineRule="auto"/>
        <w:ind w:firstLine="420"/>
        <w:rPr>
          <w:rFonts w:ascii="Garamond" w:hAnsi="Garamond" w:cs="Times New Roman"/>
          <w:sz w:val="24"/>
          <w:szCs w:val="24"/>
        </w:rPr>
      </w:pPr>
      <w:r>
        <w:rPr>
          <w:rFonts w:ascii="Garamond" w:hAnsi="Garamond" w:cs="Times New Roman"/>
          <w:sz w:val="24"/>
          <w:szCs w:val="24"/>
        </w:rPr>
        <w:t>The restaurant chain under investigation predominantly specializes in Yunnan cuisine, boasting consistently high taste score reviews, with an average rating of approximately 4.6 out of 5.0 on Dianping (i.e., the Chinese Yelp). These restaurants fall within the mid-range price category and primarily cater to gatherings of family and friends, as opposed to serving as venues for business-related dining engagements. It is worth noting that the menus and culinary offerings remain uniform and consistent across various cities and restaurant sites.</w:t>
      </w:r>
    </w:p>
    <w:p w14:paraId="6D1F0BAB">
      <w:pPr>
        <w:spacing w:line="480" w:lineRule="auto"/>
        <w:rPr>
          <w:rFonts w:ascii="Garamond" w:hAnsi="Garamond" w:cs="Times New Roman"/>
          <w:i/>
          <w:iCs/>
          <w:sz w:val="24"/>
          <w:szCs w:val="24"/>
        </w:rPr>
      </w:pPr>
      <w:r>
        <w:rPr>
          <w:rFonts w:ascii="Garamond" w:hAnsi="Garamond" w:cs="Times New Roman"/>
          <w:i/>
          <w:iCs/>
          <w:sz w:val="24"/>
          <w:szCs w:val="24"/>
        </w:rPr>
        <w:t>2.1 Meal quality measures</w:t>
      </w:r>
    </w:p>
    <w:p w14:paraId="42D32728">
      <w:pPr>
        <w:spacing w:line="480" w:lineRule="auto"/>
        <w:rPr>
          <w:rFonts w:ascii="Garamond" w:hAnsi="Garamond" w:cs="Times New Roman"/>
          <w:sz w:val="24"/>
          <w:szCs w:val="24"/>
        </w:rPr>
      </w:pPr>
      <w:r>
        <w:rPr>
          <w:rFonts w:ascii="Garamond" w:hAnsi="Garamond" w:cs="Times New Roman"/>
          <w:sz w:val="24"/>
          <w:szCs w:val="24"/>
        </w:rPr>
        <w:t>By considering the same menu across restaurants and using control variables, we identify the effect of weather on diet choices across locations and over time. To better understand how individual food preferences and intake might be impacted by extreme weather, it is essential to acquire detailed nutritional information for each dish ordered. To this end, we obtained detailed data on the ingredients and precise amounts used in each dish directly from the restaurant chain administrator. This allows us to match each ingredient with the nutritional data and compute the total calories for the entire order. Meal diversity is measured by the FAO individual diet diversity score (IDDS) (Kennedy et al., 2013; Ganpule-Rao et al., 2021). IDDS ranges from 0 to 9 based on intake of nine groups of food including starchy staples (cereals, white tubers, and roots), legumes (nuts and seeds), milk and milk products, organ meats (e.g., liver), meat and fish, eggs, dark green leafy vegetables, other vitamin A-rich fruits and vegetables (e.g., mango, carrot, pumpkin), and other fruits and vegetables. The Diet Quality Distance (DQD), which serves as an indicator of meal imbalance among Chinese consumers, was calculated using the methodology proposed by Xu et al. (2015). In this approach, a lower DQD score is indicative of a higher level of dietary balance. The Healthy Eating Index-2015 (HEI-2015), a widely used standard measurement tool, was employed to assess the overall meal quality in this study (Krebs-Smith et al., 2018). The HEI-2015 was computed following the methodology outlined by the US Department of Agriculture.</w:t>
      </w:r>
      <w:r>
        <w:rPr>
          <w:rStyle w:val="14"/>
          <w:rFonts w:ascii="Garamond" w:hAnsi="Garamond" w:cs="Times New Roman"/>
          <w:sz w:val="24"/>
          <w:szCs w:val="24"/>
        </w:rPr>
        <w:footnoteReference w:id="2"/>
      </w:r>
      <w:r>
        <w:rPr>
          <w:rFonts w:ascii="Garamond" w:hAnsi="Garamond" w:cs="Times New Roman"/>
          <w:sz w:val="24"/>
          <w:szCs w:val="24"/>
        </w:rPr>
        <w:t xml:space="preserve"> </w:t>
      </w:r>
    </w:p>
    <w:p w14:paraId="0F01328A">
      <w:pPr>
        <w:spacing w:after="240" w:line="480" w:lineRule="auto"/>
        <w:ind w:firstLine="420"/>
        <w:rPr>
          <w:rFonts w:ascii="Garamond" w:hAnsi="Garamond" w:cs="Times New Roman"/>
          <w:sz w:val="24"/>
          <w:szCs w:val="24"/>
        </w:rPr>
      </w:pPr>
      <w:r>
        <w:rPr>
          <w:rFonts w:ascii="Garamond" w:hAnsi="Garamond" w:cs="Times New Roman"/>
          <w:sz w:val="24"/>
          <w:szCs w:val="24"/>
        </w:rPr>
        <w:t>These three diet indices, while interconnected to some extent, offer unique insights into different facets of dietary behavior.</w:t>
      </w:r>
      <w:r>
        <w:rPr>
          <w:rFonts w:ascii="Garamond" w:hAnsi="Garamond"/>
          <w:sz w:val="24"/>
          <w:szCs w:val="24"/>
        </w:rPr>
        <w:t xml:space="preserve"> </w:t>
      </w:r>
      <w:r>
        <w:rPr>
          <w:rFonts w:ascii="Garamond" w:hAnsi="Garamond" w:cs="Times New Roman"/>
          <w:sz w:val="24"/>
          <w:szCs w:val="24"/>
        </w:rPr>
        <w:t>IDDS captures the diversity of foods consumed, DQD assesses the balance of food groups in a meal, and HEI-2015 evaluates the overall quality of a meal based on established dietary guidelines. IDDS and HEI-2015 allow cross-country comparisons, enhancing our understanding of dietary patterns across regions and populations.</w:t>
      </w:r>
    </w:p>
    <w:p w14:paraId="6EDB30DC">
      <w:pPr>
        <w:spacing w:line="480" w:lineRule="auto"/>
        <w:rPr>
          <w:rFonts w:ascii="Garamond" w:hAnsi="Garamond" w:cs="Times New Roman"/>
          <w:i/>
          <w:iCs/>
          <w:sz w:val="24"/>
          <w:szCs w:val="24"/>
        </w:rPr>
      </w:pPr>
      <w:r>
        <w:rPr>
          <w:rFonts w:ascii="Garamond" w:hAnsi="Garamond" w:cs="Times New Roman"/>
          <w:i/>
          <w:iCs/>
          <w:sz w:val="24"/>
          <w:szCs w:val="24"/>
        </w:rPr>
        <w:t>2.2 Temperature measures</w:t>
      </w:r>
    </w:p>
    <w:p w14:paraId="46A33214">
      <w:pPr>
        <w:spacing w:line="480" w:lineRule="auto"/>
        <w:rPr>
          <w:rFonts w:ascii="Garamond" w:hAnsi="Garamond" w:cs="Times New Roman"/>
          <w:sz w:val="24"/>
          <w:szCs w:val="24"/>
        </w:rPr>
      </w:pPr>
      <w:r>
        <w:rPr>
          <w:rFonts w:ascii="Garamond" w:hAnsi="Garamond" w:cs="Times New Roman"/>
          <w:iCs/>
          <w:sz w:val="24"/>
          <w:szCs w:val="24"/>
        </w:rPr>
        <w:t xml:space="preserve">The main explanatory variable of interest is extreme weather. </w:t>
      </w:r>
      <w:r>
        <w:rPr>
          <w:rFonts w:ascii="Garamond" w:hAnsi="Garamond" w:cs="Times New Roman"/>
          <w:sz w:val="24"/>
          <w:szCs w:val="24"/>
        </w:rPr>
        <w:t>The weather data come from the China surface climate daily data set from the China Meteorological Data Service Center (2020). These data provide complete daily information on temperature, wind speed, and precipitation from 699 meteorological stations in China. For each restaurant site, we match daily weather records from the nearest meteorological station. We use daily maximum temperatures and temperature bins to account for the contemporaneous impact of extreme temperatures. In addition, we use wind speed and precipitation as complementary weather variables that have been shown to be associated with consumers’ emotional status or cognitive perceptions that may affect food consumption decisions (Denissen et al., 2008; Chen, 2019).</w:t>
      </w:r>
    </w:p>
    <w:p w14:paraId="6A3583E5">
      <w:pPr>
        <w:spacing w:line="480" w:lineRule="auto"/>
        <w:ind w:firstLine="360"/>
        <w:rPr>
          <w:rFonts w:ascii="Garamond" w:hAnsi="Garamond" w:cs="Times New Roman"/>
          <w:sz w:val="24"/>
          <w:szCs w:val="24"/>
        </w:rPr>
      </w:pPr>
      <w:r>
        <w:rPr>
          <w:rFonts w:ascii="Garamond" w:hAnsi="Garamond" w:cs="Times New Roman"/>
          <w:sz w:val="24"/>
          <w:szCs w:val="24"/>
        </w:rPr>
        <w:t>We consider two alternative specifications of temperature in our empirical models. First, we use the daily maximum temperatures, as they have been commonly used in previous studies. To fully capture potential non-linearities between temperature and diet outcomes (Carleton and Hsiang, 2016), we follow Baylis (2020) and Hanlon et al. (2020) and adopt a flexible binned model specification to allow for nonparametric impacts of temperature on diet outcomes, defined as follows:</w:t>
      </w:r>
    </w:p>
    <w:p w14:paraId="06D1B1B5">
      <w:pPr>
        <w:spacing w:line="480" w:lineRule="auto"/>
        <w:ind w:right="480" w:firstLine="360" w:firstLineChars="150"/>
        <w:jc w:val="center"/>
        <w:rPr>
          <w:rFonts w:ascii="Garamond" w:hAnsi="Garamond" w:cs="Times New Roman"/>
          <w:sz w:val="24"/>
          <w:szCs w:val="24"/>
        </w:rPr>
      </w:pPr>
      <w:r>
        <w:rPr>
          <w:rFonts w:ascii="Garamond" w:hAnsi="Garamond" w:cs="Times New Roman"/>
          <w:sz w:val="24"/>
          <w:szCs w:val="24"/>
        </w:rPr>
        <w:t xml:space="preserve">                  </w:t>
      </w:r>
      <m:oMath>
        <m:r>
          <m:rPr/>
          <w:rPr>
            <w:rFonts w:ascii="Cambria Math" w:hAnsi="Cambria Math" w:cs="Times New Roman"/>
            <w:sz w:val="24"/>
            <w:szCs w:val="24"/>
          </w:rPr>
          <m:t>f</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m:rPr/>
                  <w:rPr>
                    <w:rFonts w:ascii="Cambria Math" w:hAnsi="Cambria Math" w:cs="Times New Roman"/>
                    <w:sz w:val="24"/>
                    <w:szCs w:val="24"/>
                  </w:rPr>
                  <m:t>TEMP</m:t>
                </m:r>
                <m:ctrlPr>
                  <w:rPr>
                    <w:rFonts w:ascii="Cambria Math" w:hAnsi="Cambria Math" w:cs="Times New Roman"/>
                    <w:i/>
                    <w:sz w:val="24"/>
                    <w:szCs w:val="24"/>
                  </w:rPr>
                </m:ctrlPr>
              </m:e>
              <m:sub>
                <m:r>
                  <m:rPr/>
                  <w:rPr>
                    <w:rFonts w:ascii="Cambria Math" w:hAnsi="Cambria Math" w:cs="Times New Roman"/>
                    <w:sz w:val="24"/>
                    <w:szCs w:val="24"/>
                  </w:rPr>
                  <m:t>irt</m:t>
                </m:r>
                <m:ctrlPr>
                  <w:rPr>
                    <w:rFonts w:ascii="Cambria Math" w:hAnsi="Cambria Math" w:cs="Times New Roman"/>
                    <w:i/>
                    <w:sz w:val="24"/>
                    <w:szCs w:val="24"/>
                  </w:rPr>
                </m:ctrlPr>
              </m:sub>
            </m:sSub>
            <m:ctrlPr>
              <w:rPr>
                <w:rFonts w:ascii="Cambria Math" w:hAnsi="Cambria Math" w:cs="Times New Roman"/>
                <w:i/>
                <w:sz w:val="24"/>
                <w:szCs w:val="24"/>
              </w:rPr>
            </m:ctrlPr>
          </m:e>
        </m:d>
        <m:r>
          <m:rP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m:rPr/>
              <w:rPr>
                <w:rFonts w:ascii="Cambria Math" w:hAnsi="Cambria Math" w:cs="Times New Roman"/>
                <w:sz w:val="24"/>
                <w:szCs w:val="24"/>
              </w:rPr>
              <m:t>b</m:t>
            </m:r>
            <m:ctrlPr>
              <w:rPr>
                <w:rFonts w:ascii="Cambria Math" w:hAnsi="Cambria Math" w:cs="Times New Roman"/>
                <w:i/>
                <w:sz w:val="24"/>
                <w:szCs w:val="24"/>
              </w:rPr>
            </m:ctrlPr>
          </m:sub>
          <m:sup>
            <m:r>
              <m:rPr/>
              <w:rPr>
                <w:rFonts w:ascii="Cambria Math" w:hAnsi="Cambria Math" w:cs="Times New Roman"/>
                <w:sz w:val="24"/>
                <w:szCs w:val="24"/>
              </w:rPr>
              <m:t>B</m:t>
            </m:r>
            <m:ctrlPr>
              <w:rPr>
                <w:rFonts w:ascii="Cambria Math" w:hAnsi="Cambria Math" w:cs="Times New Roman"/>
                <w:i/>
                <w:sz w:val="24"/>
                <w:szCs w:val="24"/>
              </w:rPr>
            </m:ctrlPr>
          </m:sup>
          <m:e>
            <m:sSub>
              <m:sSubPr>
                <m:ctrlPr>
                  <w:rPr>
                    <w:rFonts w:ascii="Cambria Math" w:hAnsi="Cambria Math" w:cs="Times New Roman"/>
                    <w:i/>
                    <w:sz w:val="24"/>
                    <w:szCs w:val="24"/>
                  </w:rPr>
                </m:ctrlPr>
              </m:sSubPr>
              <m:e>
                <m:r>
                  <m:rPr/>
                  <w:rPr>
                    <w:rFonts w:ascii="Cambria Math" w:hAnsi="Cambria Math" w:cs="Times New Roman"/>
                    <w:sz w:val="24"/>
                    <w:szCs w:val="24"/>
                  </w:rPr>
                  <m:t>γ</m:t>
                </m:r>
                <m:ctrlPr>
                  <w:rPr>
                    <w:rFonts w:ascii="Cambria Math" w:hAnsi="Cambria Math" w:cs="Times New Roman"/>
                    <w:i/>
                    <w:sz w:val="24"/>
                    <w:szCs w:val="24"/>
                  </w:rPr>
                </m:ctrlPr>
              </m:e>
              <m:sub>
                <m:r>
                  <m:rPr/>
                  <w:rPr>
                    <w:rFonts w:ascii="Cambria Math" w:hAnsi="Cambria Math" w:cs="Times New Roman"/>
                    <w:sz w:val="24"/>
                    <w:szCs w:val="24"/>
                  </w:rPr>
                  <m:t>b</m:t>
                </m:r>
                <m:ctrlPr>
                  <w:rPr>
                    <w:rFonts w:ascii="Cambria Math" w:hAnsi="Cambria Math" w:cs="Times New Roman"/>
                    <w:i/>
                    <w:sz w:val="24"/>
                    <w:szCs w:val="24"/>
                  </w:rPr>
                </m:ctrlPr>
              </m:sub>
            </m:sSub>
            <m:ctrlPr>
              <w:rPr>
                <w:rFonts w:ascii="Cambria Math" w:hAnsi="Cambria Math" w:cs="Times New Roman"/>
                <w:i/>
                <w:sz w:val="24"/>
                <w:szCs w:val="24"/>
              </w:rPr>
            </m:ctrlPr>
          </m:e>
        </m:nary>
        <m:sSubSup>
          <m:sSubSupPr>
            <m:ctrlPr>
              <w:rPr>
                <w:rFonts w:ascii="Cambria Math" w:hAnsi="Cambria Math" w:cs="Times New Roman"/>
                <w:i/>
                <w:sz w:val="24"/>
                <w:szCs w:val="24"/>
              </w:rPr>
            </m:ctrlPr>
          </m:sSubSupPr>
          <m:e>
            <m:r>
              <m:rPr/>
              <w:rPr>
                <w:rFonts w:ascii="Cambria Math" w:hAnsi="Cambria Math" w:cs="Times New Roman"/>
                <w:sz w:val="24"/>
                <w:szCs w:val="24"/>
              </w:rPr>
              <m:t>TEMP</m:t>
            </m:r>
            <m:ctrlPr>
              <w:rPr>
                <w:rFonts w:ascii="Cambria Math" w:hAnsi="Cambria Math" w:cs="Times New Roman"/>
                <w:i/>
                <w:sz w:val="24"/>
                <w:szCs w:val="24"/>
              </w:rPr>
            </m:ctrlPr>
          </m:e>
          <m:sub>
            <m:r>
              <m:rPr/>
              <w:rPr>
                <w:rFonts w:ascii="Cambria Math" w:hAnsi="Cambria Math" w:cs="Times New Roman"/>
                <w:sz w:val="24"/>
                <w:szCs w:val="24"/>
              </w:rPr>
              <m:t>irt</m:t>
            </m:r>
            <m:ctrlPr>
              <w:rPr>
                <w:rFonts w:ascii="Cambria Math" w:hAnsi="Cambria Math" w:cs="Times New Roman"/>
                <w:i/>
                <w:sz w:val="24"/>
                <w:szCs w:val="24"/>
              </w:rPr>
            </m:ctrlPr>
          </m:sub>
          <m:sup>
            <m:r>
              <m:rPr/>
              <w:rPr>
                <w:rFonts w:ascii="Cambria Math" w:hAnsi="Cambria Math" w:cs="Times New Roman"/>
                <w:sz w:val="24"/>
                <w:szCs w:val="24"/>
              </w:rPr>
              <m:t>b</m:t>
            </m:r>
            <m:ctrlPr>
              <w:rPr>
                <w:rFonts w:ascii="Cambria Math" w:hAnsi="Cambria Math" w:cs="Times New Roman"/>
                <w:i/>
                <w:sz w:val="24"/>
                <w:szCs w:val="24"/>
              </w:rPr>
            </m:ctrlPr>
          </m:sup>
        </m:sSubSup>
      </m:oMath>
      <w:r>
        <w:rPr>
          <w:rFonts w:ascii="Garamond" w:hAnsi="Garamond" w:cs="Times New Roman"/>
          <w:sz w:val="24"/>
          <w:szCs w:val="24"/>
        </w:rPr>
        <w:t>,                    (1)</w:t>
      </w:r>
    </w:p>
    <w:p w14:paraId="5232C9ED">
      <w:pPr>
        <w:spacing w:after="240" w:line="480" w:lineRule="auto"/>
        <w:rPr>
          <w:rFonts w:ascii="Garamond" w:hAnsi="Garamond" w:cs="Times New Roman"/>
          <w:sz w:val="24"/>
          <w:szCs w:val="24"/>
        </w:rPr>
      </w:pPr>
      <w:r>
        <w:rPr>
          <w:rFonts w:ascii="Garamond" w:hAnsi="Garamond" w:cs="Times New Roman"/>
          <w:sz w:val="24"/>
          <w:szCs w:val="24"/>
        </w:rPr>
        <w:t xml:space="preserve">where </w:t>
      </w:r>
      <m:oMath>
        <m:sSubSup>
          <m:sSubSupPr>
            <m:ctrlPr>
              <w:rPr>
                <w:rFonts w:ascii="Cambria Math" w:hAnsi="Cambria Math" w:cs="Times New Roman"/>
                <w:i/>
                <w:sz w:val="24"/>
                <w:szCs w:val="24"/>
              </w:rPr>
            </m:ctrlPr>
          </m:sSubSupPr>
          <m:e>
            <m:r>
              <m:rPr/>
              <w:rPr>
                <w:rFonts w:ascii="Cambria Math" w:hAnsi="Cambria Math" w:cs="Times New Roman"/>
                <w:sz w:val="24"/>
                <w:szCs w:val="24"/>
              </w:rPr>
              <m:t>TEMP</m:t>
            </m:r>
            <m:ctrlPr>
              <w:rPr>
                <w:rFonts w:ascii="Cambria Math" w:hAnsi="Cambria Math" w:cs="Times New Roman"/>
                <w:i/>
                <w:sz w:val="24"/>
                <w:szCs w:val="24"/>
              </w:rPr>
            </m:ctrlPr>
          </m:e>
          <m:sub>
            <m:r>
              <m:rPr/>
              <w:rPr>
                <w:rFonts w:ascii="Cambria Math" w:hAnsi="Cambria Math" w:cs="Times New Roman"/>
                <w:sz w:val="24"/>
                <w:szCs w:val="24"/>
              </w:rPr>
              <m:t>imt</m:t>
            </m:r>
            <m:ctrlPr>
              <w:rPr>
                <w:rFonts w:ascii="Cambria Math" w:hAnsi="Cambria Math" w:cs="Times New Roman"/>
                <w:i/>
                <w:sz w:val="24"/>
                <w:szCs w:val="24"/>
              </w:rPr>
            </m:ctrlPr>
          </m:sub>
          <m:sup>
            <m:r>
              <m:rPr/>
              <w:rPr>
                <w:rFonts w:ascii="Cambria Math" w:hAnsi="Cambria Math" w:cs="Times New Roman"/>
                <w:sz w:val="24"/>
                <w:szCs w:val="24"/>
              </w:rPr>
              <m:t>b</m:t>
            </m:r>
            <m:ctrlPr>
              <w:rPr>
                <w:rFonts w:ascii="Cambria Math" w:hAnsi="Cambria Math" w:cs="Times New Roman"/>
                <w:i/>
                <w:sz w:val="24"/>
                <w:szCs w:val="24"/>
              </w:rPr>
            </m:ctrlPr>
          </m:sup>
        </m:sSubSup>
      </m:oMath>
      <w:r>
        <w:rPr>
          <w:rFonts w:ascii="Garamond" w:hAnsi="Garamond" w:cs="Times New Roman"/>
          <w:sz w:val="24"/>
          <w:szCs w:val="24"/>
        </w:rPr>
        <w:t xml:space="preserve"> is an indicator variable equal to 1 if </w:t>
      </w:r>
      <m:oMath>
        <m:sSubSup>
          <m:sSubSupPr>
            <m:ctrlPr>
              <w:rPr>
                <w:rFonts w:ascii="Cambria Math" w:hAnsi="Cambria Math" w:cs="Times New Roman"/>
                <w:i/>
                <w:sz w:val="24"/>
                <w:szCs w:val="24"/>
              </w:rPr>
            </m:ctrlPr>
          </m:sSubSupPr>
          <m:e>
            <m:r>
              <m:rPr/>
              <w:rPr>
                <w:rFonts w:ascii="Cambria Math" w:hAnsi="Cambria Math" w:cs="Times New Roman"/>
                <w:sz w:val="24"/>
                <w:szCs w:val="24"/>
              </w:rPr>
              <m:t>TEMP</m:t>
            </m:r>
            <m:ctrlPr>
              <w:rPr>
                <w:rFonts w:ascii="Cambria Math" w:hAnsi="Cambria Math" w:cs="Times New Roman"/>
                <w:i/>
                <w:sz w:val="24"/>
                <w:szCs w:val="24"/>
              </w:rPr>
            </m:ctrlPr>
          </m:e>
          <m:sub>
            <m:r>
              <m:rPr/>
              <w:rPr>
                <w:rFonts w:ascii="Cambria Math" w:hAnsi="Cambria Math" w:cs="Times New Roman"/>
                <w:sz w:val="24"/>
                <w:szCs w:val="24"/>
              </w:rPr>
              <m:t>imt</m:t>
            </m:r>
            <m:ctrlPr>
              <w:rPr>
                <w:rFonts w:ascii="Cambria Math" w:hAnsi="Cambria Math" w:cs="Times New Roman"/>
                <w:i/>
                <w:sz w:val="24"/>
                <w:szCs w:val="24"/>
              </w:rPr>
            </m:ctrlPr>
          </m:sub>
          <m:sup>
            <m:r>
              <m:rPr/>
              <w:rPr>
                <w:rFonts w:ascii="Cambria Math" w:hAnsi="Cambria Math" w:cs="Times New Roman"/>
                <w:sz w:val="24"/>
                <w:szCs w:val="24"/>
              </w:rPr>
              <m:t>b</m:t>
            </m:r>
            <m:ctrlPr>
              <w:rPr>
                <w:rFonts w:ascii="Cambria Math" w:hAnsi="Cambria Math" w:cs="Times New Roman"/>
                <w:i/>
                <w:sz w:val="24"/>
                <w:szCs w:val="24"/>
              </w:rPr>
            </m:ctrlPr>
          </m:sup>
        </m:sSubSup>
      </m:oMath>
      <w:r>
        <w:rPr>
          <w:rFonts w:ascii="Garamond" w:hAnsi="Garamond" w:cs="Times New Roman"/>
          <w:sz w:val="24"/>
          <w:szCs w:val="24"/>
        </w:rPr>
        <w:t xml:space="preserve"> falls into the given temperature bin </w:t>
      </w:r>
      <m:oMath>
        <m:r>
          <m:rPr/>
          <w:rPr>
            <w:rFonts w:ascii="Cambria Math" w:hAnsi="Cambria Math" w:cs="Times New Roman"/>
            <w:sz w:val="24"/>
            <w:szCs w:val="24"/>
          </w:rPr>
          <m:t>b</m:t>
        </m:r>
      </m:oMath>
      <w:r>
        <w:rPr>
          <w:rFonts w:ascii="Garamond" w:hAnsi="Garamond" w:cs="Times New Roman"/>
          <w:sz w:val="24"/>
          <w:szCs w:val="24"/>
        </w:rPr>
        <w:t>, which is specified as 3-degree bins based on the daily maximum temperature (16 bins in total).</w:t>
      </w:r>
      <w:r>
        <w:rPr>
          <w:rStyle w:val="14"/>
          <w:rFonts w:ascii="Garamond" w:hAnsi="Garamond" w:cs="Times New Roman"/>
          <w:sz w:val="24"/>
          <w:szCs w:val="24"/>
        </w:rPr>
        <w:footnoteReference w:id="3"/>
      </w:r>
      <w:r>
        <w:rPr>
          <w:rFonts w:ascii="Garamond" w:hAnsi="Garamond" w:cs="Times New Roman"/>
          <w:sz w:val="24"/>
          <w:szCs w:val="24"/>
        </w:rPr>
        <w:t xml:space="preserve"> The bin of 21-24 C is selected as the baseline group in all regressions (Baylis, 2020). The parameters of interest </w:t>
      </w:r>
      <m:oMath>
        <m:sSub>
          <m:sSubPr>
            <m:ctrlPr>
              <w:rPr>
                <w:rFonts w:ascii="Cambria Math" w:hAnsi="Cambria Math" w:cs="Times New Roman"/>
                <w:i/>
                <w:sz w:val="24"/>
                <w:szCs w:val="24"/>
              </w:rPr>
            </m:ctrlPr>
          </m:sSubPr>
          <m:e>
            <m:r>
              <m:rPr/>
              <w:rPr>
                <w:rFonts w:ascii="Cambria Math" w:hAnsi="Cambria Math" w:cs="Times New Roman"/>
                <w:sz w:val="24"/>
                <w:szCs w:val="24"/>
              </w:rPr>
              <m:t>γ</m:t>
            </m:r>
            <m:ctrlPr>
              <w:rPr>
                <w:rFonts w:ascii="Cambria Math" w:hAnsi="Cambria Math" w:cs="Times New Roman"/>
                <w:i/>
                <w:sz w:val="24"/>
                <w:szCs w:val="24"/>
              </w:rPr>
            </m:ctrlPr>
          </m:e>
          <m:sub>
            <m:r>
              <m:rPr/>
              <w:rPr>
                <w:rFonts w:ascii="Cambria Math" w:hAnsi="Cambria Math" w:cs="Times New Roman"/>
                <w:sz w:val="24"/>
                <w:szCs w:val="24"/>
              </w:rPr>
              <m:t>b</m:t>
            </m:r>
            <m:ctrlPr>
              <w:rPr>
                <w:rFonts w:ascii="Cambria Math" w:hAnsi="Cambria Math" w:cs="Times New Roman"/>
                <w:i/>
                <w:sz w:val="24"/>
                <w:szCs w:val="24"/>
              </w:rPr>
            </m:ctrlPr>
          </m:sub>
        </m:sSub>
      </m:oMath>
      <w:r>
        <w:rPr>
          <w:rFonts w:ascii="Garamond" w:hAnsi="Garamond" w:cs="Times New Roman"/>
          <w:sz w:val="24"/>
          <w:szCs w:val="24"/>
        </w:rPr>
        <w:t xml:space="preserve"> quantify the nonparametric relationships between temperature and diet outcomes, which can be interpreted as the average change in </w:t>
      </w:r>
      <m:oMath>
        <m:sSub>
          <m:sSubPr>
            <m:ctrlPr>
              <w:rPr>
                <w:rFonts w:ascii="Cambria Math" w:hAnsi="Cambria Math" w:cs="Times New Roman"/>
                <w:i/>
                <w:sz w:val="24"/>
                <w:szCs w:val="24"/>
              </w:rPr>
            </m:ctrlPr>
          </m:sSubPr>
          <m:e>
            <m:r>
              <m:rPr/>
              <w:rPr>
                <w:rFonts w:ascii="Cambria Math" w:hAnsi="Cambria Math" w:cs="Times New Roman"/>
                <w:sz w:val="24"/>
                <w:szCs w:val="24"/>
              </w:rPr>
              <m:t>y</m:t>
            </m:r>
            <m:ctrlPr>
              <w:rPr>
                <w:rFonts w:ascii="Cambria Math" w:hAnsi="Cambria Math" w:cs="Times New Roman"/>
                <w:i/>
                <w:sz w:val="24"/>
                <w:szCs w:val="24"/>
              </w:rPr>
            </m:ctrlPr>
          </m:e>
          <m:sub>
            <m:r>
              <m:rPr/>
              <w:rPr>
                <w:rFonts w:ascii="Cambria Math" w:hAnsi="Cambria Math" w:cs="Times New Roman"/>
                <w:sz w:val="24"/>
                <w:szCs w:val="24"/>
              </w:rPr>
              <m:t>imt</m:t>
            </m:r>
            <m:ctrlPr>
              <w:rPr>
                <w:rFonts w:ascii="Cambria Math" w:hAnsi="Cambria Math" w:cs="Times New Roman"/>
                <w:i/>
                <w:sz w:val="24"/>
                <w:szCs w:val="24"/>
              </w:rPr>
            </m:ctrlPr>
          </m:sub>
        </m:sSub>
      </m:oMath>
      <w:r>
        <w:rPr>
          <w:rFonts w:ascii="Garamond" w:hAnsi="Garamond" w:cs="Times New Roman"/>
          <w:sz w:val="24"/>
          <w:szCs w:val="24"/>
        </w:rPr>
        <w:t xml:space="preserve"> resulting from replacing a day in the omitted bin (i.e., 21-24 C) with a day in the temperature bin </w:t>
      </w:r>
      <m:oMath>
        <m:r>
          <m:rPr/>
          <w:rPr>
            <w:rFonts w:ascii="Cambria Math" w:hAnsi="Cambria Math" w:cs="Times New Roman"/>
            <w:sz w:val="24"/>
            <w:szCs w:val="24"/>
          </w:rPr>
          <m:t>b</m:t>
        </m:r>
      </m:oMath>
      <w:r>
        <w:rPr>
          <w:rFonts w:ascii="Garamond" w:hAnsi="Garamond" w:cs="Times New Roman"/>
          <w:sz w:val="24"/>
          <w:szCs w:val="24"/>
        </w:rPr>
        <w:t xml:space="preserve">. </w:t>
      </w:r>
    </w:p>
    <w:p w14:paraId="5AF9C226">
      <w:pPr>
        <w:spacing w:line="480" w:lineRule="auto"/>
        <w:rPr>
          <w:rFonts w:ascii="Garamond" w:hAnsi="Garamond" w:cs="Times New Roman"/>
          <w:i/>
          <w:iCs/>
          <w:sz w:val="24"/>
          <w:szCs w:val="24"/>
        </w:rPr>
      </w:pPr>
      <w:r>
        <w:rPr>
          <w:rFonts w:ascii="Garamond" w:hAnsi="Garamond" w:cs="Times New Roman"/>
          <w:i/>
          <w:iCs/>
          <w:sz w:val="24"/>
          <w:szCs w:val="24"/>
        </w:rPr>
        <w:t>2.3 Other control variables</w:t>
      </w:r>
    </w:p>
    <w:p w14:paraId="1068BB9B">
      <w:pPr>
        <w:spacing w:after="240" w:line="480" w:lineRule="auto"/>
        <w:rPr>
          <w:rFonts w:ascii="Garamond" w:hAnsi="Garamond" w:cs="Times New Roman"/>
          <w:sz w:val="24"/>
          <w:szCs w:val="24"/>
        </w:rPr>
      </w:pPr>
      <w:r>
        <w:rPr>
          <w:rFonts w:ascii="Garamond" w:hAnsi="Garamond" w:cs="Times New Roman"/>
          <w:sz w:val="24"/>
          <w:szCs w:val="24"/>
        </w:rPr>
        <w:t xml:space="preserve">We also use other control variables related to the characteristics of the transactions drawn from the food purchase database, such as the size of the party, whether it was for dinner or lunch, time spent at the restaurant, whether the transaction occurred during peak hours, and a daily time trend variable. In addition, we use 2,278 fixed effects to control for unobservable factors, including fixed effects for each restaurant, city, month, day of the week, and their interactions. </w:t>
      </w:r>
    </w:p>
    <w:p w14:paraId="6E939616">
      <w:pPr>
        <w:spacing w:line="480" w:lineRule="auto"/>
        <w:rPr>
          <w:rFonts w:ascii="Garamond" w:hAnsi="Garamond" w:cs="Times New Roman"/>
          <w:i/>
          <w:iCs/>
          <w:sz w:val="24"/>
          <w:szCs w:val="24"/>
        </w:rPr>
      </w:pPr>
      <w:r>
        <w:rPr>
          <w:rFonts w:ascii="Garamond" w:hAnsi="Garamond" w:cs="Times New Roman"/>
          <w:i/>
          <w:iCs/>
          <w:sz w:val="24"/>
          <w:szCs w:val="24"/>
        </w:rPr>
        <w:t>2.4 Empirical Models</w:t>
      </w:r>
    </w:p>
    <w:p w14:paraId="44518D43">
      <w:pPr>
        <w:spacing w:line="480" w:lineRule="auto"/>
        <w:rPr>
          <w:rFonts w:ascii="Garamond" w:hAnsi="Garamond" w:cs="Times New Roman"/>
          <w:sz w:val="24"/>
          <w:szCs w:val="24"/>
        </w:rPr>
      </w:pPr>
      <w:r>
        <w:rPr>
          <w:rFonts w:ascii="Garamond" w:hAnsi="Garamond" w:cs="Times New Roman"/>
          <w:sz w:val="24"/>
          <w:szCs w:val="24"/>
        </w:rPr>
        <w:t>Our identification strategy relies on high-frequency variation in local temperature at the time the orders are placed.</w:t>
      </w:r>
      <w:r>
        <w:rPr>
          <w:rFonts w:ascii="Garamond" w:hAnsi="Garamond" w:eastAsia="MS Mincho" w:cs="Times New Roman"/>
          <w:sz w:val="24"/>
          <w:szCs w:val="24"/>
        </w:rPr>
        <w:t xml:space="preserve"> However, one crucial concern in our analysis is the potential selection bias arising from the possibility that people</w:t>
      </w:r>
      <w:r>
        <w:rPr>
          <w:rFonts w:hint="eastAsia" w:ascii="Garamond" w:hAnsi="Garamond" w:cs="Times New Roman"/>
          <w:sz w:val="24"/>
          <w:szCs w:val="24"/>
        </w:rPr>
        <w:t xml:space="preserve"> may make </w:t>
      </w:r>
      <w:r>
        <w:rPr>
          <w:rFonts w:ascii="Garamond" w:hAnsi="Garamond" w:cs="Times New Roman"/>
          <w:sz w:val="24"/>
          <w:szCs w:val="24"/>
        </w:rPr>
        <w:t>decision</w:t>
      </w:r>
      <w:r>
        <w:rPr>
          <w:rFonts w:hint="eastAsia" w:ascii="Garamond" w:hAnsi="Garamond" w:cs="Times New Roman"/>
          <w:sz w:val="24"/>
          <w:szCs w:val="24"/>
        </w:rPr>
        <w:t xml:space="preserve"> of dining based on the weather condition. </w:t>
      </w:r>
      <w:r>
        <w:rPr>
          <w:rFonts w:ascii="Garamond" w:hAnsi="Garamond" w:eastAsia="MS Mincho" w:cs="Times New Roman"/>
          <w:sz w:val="24"/>
          <w:szCs w:val="24"/>
        </w:rPr>
        <w:t xml:space="preserve">For example, during days of bad weather (e.g., extreme hot/cold, rainy), there may be a greater proportion of working professionals with stringent work schedules who visit restaurants, whereas during days of comfortable weather, children and seniors may be more likely to come to a restaurant. In such cases, the estimated impacts of temperatures on diet outcomes may be driven by systematic differences among distinct customer groups rather than the weather </w:t>
      </w:r>
      <w:r>
        <w:rPr>
          <w:rFonts w:ascii="Garamond" w:hAnsi="Garamond" w:eastAsia="MS Mincho" w:cs="Times New Roman"/>
          <w:i/>
          <w:iCs/>
          <w:sz w:val="24"/>
          <w:szCs w:val="24"/>
        </w:rPr>
        <w:t>per se</w:t>
      </w:r>
      <w:r>
        <w:rPr>
          <w:rFonts w:ascii="Garamond" w:hAnsi="Garamond" w:eastAsia="MS Mincho" w:cs="Times New Roman"/>
          <w:sz w:val="24"/>
          <w:szCs w:val="24"/>
        </w:rPr>
        <w:t xml:space="preserve">. </w:t>
      </w:r>
    </w:p>
    <w:p w14:paraId="0369D012">
      <w:pPr>
        <w:spacing w:line="480" w:lineRule="auto"/>
        <w:ind w:firstLine="420"/>
        <w:rPr>
          <w:rFonts w:ascii="Garamond" w:hAnsi="Garamond" w:cs="Times New Roman"/>
          <w:sz w:val="24"/>
          <w:szCs w:val="24"/>
        </w:rPr>
      </w:pPr>
      <w:r>
        <w:rPr>
          <w:rFonts w:ascii="Garamond" w:hAnsi="Garamond" w:eastAsia="MS Mincho" w:cs="Times New Roman"/>
          <w:sz w:val="24"/>
          <w:szCs w:val="24"/>
        </w:rPr>
        <w:t>To address the potential self-selection issues, we adopt the high-dimensional fixed effects (HDFE) model proposed by Guimaraes and Portugal (2010), which enables us to include hundreds of fixed effects (FE), such as site-by-day-of-week FE, site-by-month FE, city-by-month FE, thereby partially alleviating the</w:t>
      </w:r>
      <w:r>
        <w:rPr>
          <w:rFonts w:ascii="Garamond" w:hAnsi="Garamond" w:cs="Times New Roman"/>
          <w:sz w:val="24"/>
          <w:szCs w:val="24"/>
        </w:rPr>
        <w:t xml:space="preserve"> potential</w:t>
      </w:r>
      <w:r>
        <w:rPr>
          <w:rFonts w:ascii="Garamond" w:hAnsi="Garamond" w:eastAsia="MS Mincho" w:cs="Times New Roman"/>
          <w:sz w:val="24"/>
          <w:szCs w:val="24"/>
        </w:rPr>
        <w:t xml:space="preserve"> self-selection problem. </w:t>
      </w:r>
      <w:r>
        <w:rPr>
          <w:rFonts w:ascii="Garamond" w:hAnsi="Garamond" w:cs="Times New Roman"/>
          <w:sz w:val="24"/>
          <w:szCs w:val="24"/>
        </w:rPr>
        <w:t xml:space="preserve">We also further address </w:t>
      </w:r>
      <w:r>
        <w:rPr>
          <w:rFonts w:ascii="Garamond" w:hAnsi="Garamond" w:eastAsia="MS Mincho" w:cs="Times New Roman"/>
          <w:sz w:val="24"/>
          <w:szCs w:val="24"/>
        </w:rPr>
        <w:t>self-selection problem</w:t>
      </w:r>
      <w:r>
        <w:rPr>
          <w:rFonts w:ascii="Garamond" w:hAnsi="Garamond" w:cs="Times New Roman"/>
          <w:sz w:val="24"/>
          <w:szCs w:val="24"/>
        </w:rPr>
        <w:t xml:space="preserve"> in robustness check, where we further examine the impacts of temperature and heat waves by group size as larger dining groups, comprising more than two customers, are more likely to have pre-scheduled or booked their reservations, making them less sensitive to immediate weather conditions. </w:t>
      </w:r>
      <w:r>
        <w:rPr>
          <w:rFonts w:ascii="Garamond" w:hAnsi="Garamond" w:eastAsia="MS Mincho" w:cs="Times New Roman"/>
          <w:sz w:val="24"/>
          <w:szCs w:val="24"/>
        </w:rPr>
        <w:t>The general form of our HDFE model is:</w:t>
      </w:r>
    </w:p>
    <w:p w14:paraId="22F8C551">
      <w:pPr>
        <w:spacing w:line="480" w:lineRule="auto"/>
        <w:jc w:val="center"/>
        <w:rPr>
          <w:rFonts w:ascii="Garamond" w:hAnsi="Garamond" w:cs="Times New Roman"/>
          <w:i/>
          <w:sz w:val="24"/>
          <w:szCs w:val="24"/>
          <w:lang w:val="en-GB"/>
        </w:rPr>
      </w:pPr>
      <w:r>
        <w:rPr>
          <w:rFonts w:ascii="Garamond" w:hAnsi="Garamond" w:cs="Times New Roman"/>
          <w:sz w:val="24"/>
          <w:szCs w:val="24"/>
        </w:rPr>
        <w:t xml:space="preserve"> </w:t>
      </w:r>
      <m:oMath>
        <m:sSub>
          <m:sSubPr>
            <m:ctrlPr>
              <w:rPr>
                <w:rFonts w:ascii="Cambria Math" w:hAnsi="Cambria Math" w:cs="Times New Roman"/>
                <w:i/>
                <w:sz w:val="24"/>
                <w:szCs w:val="24"/>
              </w:rPr>
            </m:ctrlPr>
          </m:sSubPr>
          <m:e>
            <m:r>
              <m:rPr/>
              <w:rPr>
                <w:rFonts w:ascii="Cambria Math" w:hAnsi="Cambria Math" w:cs="Times New Roman"/>
                <w:sz w:val="24"/>
                <w:szCs w:val="24"/>
              </w:rPr>
              <m:t>y</m:t>
            </m:r>
            <m:ctrlPr>
              <w:rPr>
                <w:rFonts w:ascii="Cambria Math" w:hAnsi="Cambria Math" w:cs="Times New Roman"/>
                <w:i/>
                <w:sz w:val="24"/>
                <w:szCs w:val="24"/>
              </w:rPr>
            </m:ctrlPr>
          </m:e>
          <m:sub>
            <m:r>
              <m:rPr/>
              <w:rPr>
                <w:rFonts w:ascii="Cambria Math" w:hAnsi="Cambria Math" w:cs="Times New Roman"/>
                <w:sz w:val="24"/>
                <w:szCs w:val="24"/>
              </w:rPr>
              <m:t>imt</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α</m:t>
            </m:r>
            <m:ctrlPr>
              <w:rPr>
                <w:rFonts w:ascii="Cambria Math" w:hAnsi="Cambria Math" w:cs="Times New Roman"/>
                <w:i/>
                <w:sz w:val="24"/>
                <w:szCs w:val="24"/>
              </w:rPr>
            </m:ctrlPr>
          </m:e>
          <m:sub>
            <m:r>
              <m:rPr/>
              <w:rPr>
                <w:rFonts w:ascii="Cambria Math" w:hAnsi="Cambria Math" w:cs="Times New Roman"/>
                <w:sz w:val="24"/>
                <w:szCs w:val="24"/>
              </w:rPr>
              <m:t>0</m:t>
            </m:r>
            <m:ctrlPr>
              <w:rPr>
                <w:rFonts w:ascii="Cambria Math" w:hAnsi="Cambria Math" w:cs="Times New Roman"/>
                <w:i/>
                <w:sz w:val="24"/>
                <w:szCs w:val="24"/>
              </w:rPr>
            </m:ctrlPr>
          </m:sub>
        </m:sSub>
        <m:r>
          <m:rPr/>
          <w:rPr>
            <w:rFonts w:ascii="Cambria Math" w:hAnsi="Cambria Math" w:cs="Times New Roman"/>
            <w:sz w:val="24"/>
            <w:szCs w:val="24"/>
          </w:rPr>
          <m:t>+f(</m:t>
        </m:r>
        <m:sSub>
          <m:sSubPr>
            <m:ctrlPr>
              <w:rPr>
                <w:rFonts w:ascii="Cambria Math" w:hAnsi="Cambria Math" w:cs="Times New Roman"/>
                <w:i/>
                <w:sz w:val="24"/>
                <w:szCs w:val="24"/>
              </w:rPr>
            </m:ctrlPr>
          </m:sSubPr>
          <m:e>
            <m:r>
              <m:rPr/>
              <w:rPr>
                <w:rFonts w:ascii="Cambria Math" w:hAnsi="Cambria Math" w:cs="Times New Roman"/>
                <w:sz w:val="24"/>
                <w:szCs w:val="24"/>
              </w:rPr>
              <m:t>TEMP</m:t>
            </m:r>
            <m:ctrlPr>
              <w:rPr>
                <w:rFonts w:ascii="Cambria Math" w:hAnsi="Cambria Math" w:cs="Times New Roman"/>
                <w:i/>
                <w:sz w:val="24"/>
                <w:szCs w:val="24"/>
              </w:rPr>
            </m:ctrlPr>
          </m:e>
          <m:sub>
            <m:r>
              <m:rPr/>
              <w:rPr>
                <w:rFonts w:ascii="Cambria Math" w:hAnsi="Cambria Math" w:cs="Times New Roman"/>
                <w:sz w:val="24"/>
                <w:szCs w:val="24"/>
              </w:rPr>
              <m:t>imt</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β</m:t>
            </m:r>
            <m:ctrlPr>
              <w:rPr>
                <w:rFonts w:ascii="Cambria Math" w:hAnsi="Cambria Math" w:cs="Times New Roman"/>
                <w:i/>
                <w:sz w:val="24"/>
                <w:szCs w:val="24"/>
              </w:rPr>
            </m:ctrlPr>
          </m:e>
          <m:sub>
            <m:r>
              <m:rPr/>
              <w:rPr>
                <w:rFonts w:ascii="Cambria Math" w:hAnsi="Cambria Math" w:cs="Times New Roman"/>
                <w:sz w:val="24"/>
                <w:szCs w:val="24"/>
              </w:rPr>
              <m:t>1</m:t>
            </m:r>
            <m:ctrlPr>
              <w:rPr>
                <w:rFonts w:ascii="Cambria Math" w:hAnsi="Cambria Math" w:cs="Times New Roman"/>
                <w:i/>
                <w:sz w:val="24"/>
                <w:szCs w:val="24"/>
              </w:rPr>
            </m:ctrlPr>
          </m:sub>
        </m:sSub>
        <m:sSub>
          <m:sSubPr>
            <m:ctrlPr>
              <w:rPr>
                <w:rFonts w:ascii="Cambria Math" w:hAnsi="Cambria Math" w:cs="Times New Roman"/>
                <w:i/>
                <w:sz w:val="24"/>
                <w:szCs w:val="24"/>
              </w:rPr>
            </m:ctrlPr>
          </m:sSubPr>
          <m:e>
            <m:r>
              <m:rPr/>
              <w:rPr>
                <w:rFonts w:ascii="Cambria Math" w:hAnsi="Cambria Math" w:cs="Times New Roman"/>
                <w:sz w:val="24"/>
                <w:szCs w:val="24"/>
              </w:rPr>
              <m:t>ψ</m:t>
            </m:r>
            <m:ctrlPr>
              <w:rPr>
                <w:rFonts w:ascii="Cambria Math" w:hAnsi="Cambria Math" w:cs="Times New Roman"/>
                <w:i/>
                <w:sz w:val="24"/>
                <w:szCs w:val="24"/>
              </w:rPr>
            </m:ctrlPr>
          </m:e>
          <m:sub>
            <m:r>
              <m:rPr/>
              <w:rPr>
                <w:rFonts w:ascii="Cambria Math" w:hAnsi="Cambria Math" w:cs="Times New Roman"/>
                <w:sz w:val="24"/>
                <w:szCs w:val="24"/>
              </w:rPr>
              <m:t>imt</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β</m:t>
            </m:r>
            <m:ctrlPr>
              <w:rPr>
                <w:rFonts w:ascii="Cambria Math" w:hAnsi="Cambria Math" w:cs="Times New Roman"/>
                <w:i/>
                <w:sz w:val="24"/>
                <w:szCs w:val="24"/>
              </w:rPr>
            </m:ctrlPr>
          </m:e>
          <m:sub>
            <m:r>
              <m:rPr/>
              <w:rPr>
                <w:rFonts w:ascii="Cambria Math" w:hAnsi="Cambria Math" w:cs="Times New Roman"/>
                <w:sz w:val="24"/>
                <w:szCs w:val="24"/>
              </w:rPr>
              <m:t>2</m:t>
            </m:r>
            <m:ctrlPr>
              <w:rPr>
                <w:rFonts w:ascii="Cambria Math" w:hAnsi="Cambria Math" w:cs="Times New Roman"/>
                <w:i/>
                <w:sz w:val="24"/>
                <w:szCs w:val="24"/>
              </w:rPr>
            </m:ctrlPr>
          </m:sub>
        </m:sSub>
        <m:sSub>
          <m:sSubPr>
            <m:ctrlPr>
              <w:rPr>
                <w:rFonts w:ascii="Cambria Math" w:hAnsi="Cambria Math" w:cs="Times New Roman"/>
                <w:i/>
                <w:sz w:val="24"/>
                <w:szCs w:val="24"/>
              </w:rPr>
            </m:ctrlPr>
          </m:sSubPr>
          <m:e>
            <m:r>
              <m:rPr/>
              <w:rPr>
                <w:rFonts w:ascii="Cambria Math" w:hAnsi="Cambria Math" w:cs="Times New Roman"/>
                <w:sz w:val="24"/>
                <w:szCs w:val="24"/>
              </w:rPr>
              <m:t>X</m:t>
            </m:r>
            <m:ctrlPr>
              <w:rPr>
                <w:rFonts w:ascii="Cambria Math" w:hAnsi="Cambria Math" w:cs="Times New Roman"/>
                <w:i/>
                <w:sz w:val="24"/>
                <w:szCs w:val="24"/>
              </w:rPr>
            </m:ctrlPr>
          </m:e>
          <m:sub>
            <m:r>
              <m:rPr/>
              <w:rPr>
                <w:rFonts w:ascii="Cambria Math" w:hAnsi="Cambria Math" w:cs="Times New Roman"/>
                <w:sz w:val="24"/>
                <w:szCs w:val="24"/>
              </w:rPr>
              <m:t>imt</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lang w:val="en-GB"/>
              </w:rPr>
            </m:ctrlPr>
          </m:sSubPr>
          <m:e>
            <m:r>
              <m:rPr/>
              <w:rPr>
                <w:rFonts w:ascii="Cambria Math" w:hAnsi="Cambria Math" w:cs="Times New Roman"/>
                <w:sz w:val="24"/>
                <w:szCs w:val="24"/>
                <w:lang w:val="en-GB"/>
              </w:rPr>
              <m:t>θ</m:t>
            </m:r>
            <m:ctrlPr>
              <w:rPr>
                <w:rFonts w:ascii="Cambria Math" w:hAnsi="Cambria Math" w:cs="Times New Roman"/>
                <w:i/>
                <w:sz w:val="24"/>
                <w:szCs w:val="24"/>
                <w:lang w:val="en-GB"/>
              </w:rPr>
            </m:ctrlPr>
          </m:e>
          <m:sub>
            <m:r>
              <m:rPr/>
              <w:rPr>
                <w:rFonts w:ascii="Cambria Math" w:hAnsi="Cambria Math" w:cs="Times New Roman"/>
                <w:sz w:val="24"/>
                <w:szCs w:val="24"/>
                <w:lang w:val="en-GB"/>
              </w:rPr>
              <m:t>1</m:t>
            </m:r>
            <m:ctrlPr>
              <w:rPr>
                <w:rFonts w:ascii="Cambria Math" w:hAnsi="Cambria Math" w:cs="Times New Roman"/>
                <w:i/>
                <w:sz w:val="24"/>
                <w:szCs w:val="24"/>
                <w:lang w:val="en-GB"/>
              </w:rPr>
            </m:ctrlPr>
          </m:sub>
        </m:sSub>
        <m:r>
          <m:rPr/>
          <w:rPr>
            <w:rFonts w:ascii="Cambria Math" w:hAnsi="Cambria Math" w:cs="Times New Roman"/>
            <w:sz w:val="24"/>
            <w:szCs w:val="24"/>
            <w:lang w:val="en-GB"/>
          </w:rPr>
          <m:t>site+</m:t>
        </m:r>
        <m:sSub>
          <m:sSubPr>
            <m:ctrlPr>
              <w:rPr>
                <w:rFonts w:ascii="Cambria Math" w:hAnsi="Cambria Math" w:cs="Times New Roman"/>
                <w:i/>
                <w:sz w:val="24"/>
                <w:szCs w:val="24"/>
                <w:lang w:val="en-GB"/>
              </w:rPr>
            </m:ctrlPr>
          </m:sSubPr>
          <m:e>
            <m:r>
              <m:rPr/>
              <w:rPr>
                <w:rFonts w:ascii="Cambria Math" w:hAnsi="Cambria Math" w:cs="Times New Roman"/>
                <w:sz w:val="24"/>
                <w:szCs w:val="24"/>
                <w:lang w:val="en-GB"/>
              </w:rPr>
              <m:t>θ</m:t>
            </m:r>
            <m:ctrlPr>
              <w:rPr>
                <w:rFonts w:ascii="Cambria Math" w:hAnsi="Cambria Math" w:cs="Times New Roman"/>
                <w:i/>
                <w:sz w:val="24"/>
                <w:szCs w:val="24"/>
                <w:lang w:val="en-GB"/>
              </w:rPr>
            </m:ctrlPr>
          </m:e>
          <m:sub>
            <m:r>
              <m:rPr/>
              <w:rPr>
                <w:rFonts w:ascii="Cambria Math" w:hAnsi="Cambria Math" w:cs="Times New Roman"/>
                <w:sz w:val="24"/>
                <w:szCs w:val="24"/>
                <w:lang w:val="en-GB"/>
              </w:rPr>
              <m:t>2</m:t>
            </m:r>
            <m:ctrlPr>
              <w:rPr>
                <w:rFonts w:ascii="Cambria Math" w:hAnsi="Cambria Math" w:cs="Times New Roman"/>
                <w:i/>
                <w:sz w:val="24"/>
                <w:szCs w:val="24"/>
                <w:lang w:val="en-GB"/>
              </w:rPr>
            </m:ctrlPr>
          </m:sub>
        </m:sSub>
        <m:r>
          <m:rPr/>
          <w:rPr>
            <w:rFonts w:ascii="Cambria Math" w:hAnsi="Cambria Math" w:cs="Times New Roman"/>
            <w:sz w:val="24"/>
            <w:szCs w:val="24"/>
            <w:lang w:val="en-GB"/>
          </w:rPr>
          <m:t>city+</m:t>
        </m:r>
        <m:sSub>
          <m:sSubPr>
            <m:ctrlPr>
              <w:rPr>
                <w:rFonts w:ascii="Cambria Math" w:hAnsi="Cambria Math" w:cs="Times New Roman"/>
                <w:i/>
                <w:sz w:val="24"/>
                <w:szCs w:val="24"/>
                <w:lang w:val="en-GB"/>
              </w:rPr>
            </m:ctrlPr>
          </m:sSubPr>
          <m:e>
            <m:r>
              <m:rPr/>
              <w:rPr>
                <w:rFonts w:ascii="Cambria Math" w:hAnsi="Cambria Math" w:cs="Times New Roman"/>
                <w:sz w:val="24"/>
                <w:szCs w:val="24"/>
                <w:lang w:val="en-GB"/>
              </w:rPr>
              <m:t>θ</m:t>
            </m:r>
            <m:ctrlPr>
              <w:rPr>
                <w:rFonts w:ascii="Cambria Math" w:hAnsi="Cambria Math" w:cs="Times New Roman"/>
                <w:i/>
                <w:sz w:val="24"/>
                <w:szCs w:val="24"/>
                <w:lang w:val="en-GB"/>
              </w:rPr>
            </m:ctrlPr>
          </m:e>
          <m:sub>
            <m:r>
              <m:rPr/>
              <w:rPr>
                <w:rFonts w:ascii="Cambria Math" w:hAnsi="Cambria Math" w:cs="Times New Roman"/>
                <w:sz w:val="24"/>
                <w:szCs w:val="24"/>
                <w:lang w:val="en-GB"/>
              </w:rPr>
              <m:t>3</m:t>
            </m:r>
            <m:ctrlPr>
              <w:rPr>
                <w:rFonts w:ascii="Cambria Math" w:hAnsi="Cambria Math" w:cs="Times New Roman"/>
                <w:i/>
                <w:sz w:val="24"/>
                <w:szCs w:val="24"/>
                <w:lang w:val="en-GB"/>
              </w:rPr>
            </m:ctrlPr>
          </m:sub>
        </m:sSub>
        <m:r>
          <m:rPr/>
          <w:rPr>
            <w:rFonts w:ascii="Cambria Math" w:hAnsi="Cambria Math" w:cs="Times New Roman"/>
            <w:sz w:val="24"/>
            <w:szCs w:val="24"/>
            <w:lang w:val="en-GB"/>
          </w:rPr>
          <m:t>month</m:t>
        </m:r>
      </m:oMath>
    </w:p>
    <w:p w14:paraId="6CDE4AD4">
      <w:pPr>
        <w:spacing w:line="480" w:lineRule="auto"/>
        <w:jc w:val="center"/>
        <w:rPr>
          <w:rFonts w:ascii="Garamond" w:hAnsi="Garamond" w:cs="Times New Roman"/>
          <w:sz w:val="24"/>
          <w:szCs w:val="24"/>
        </w:rPr>
      </w:pPr>
      <w:r>
        <w:rPr>
          <w:rFonts w:ascii="Garamond" w:hAnsi="Garamond" w:cs="Times New Roman"/>
          <w:sz w:val="24"/>
          <w:szCs w:val="24"/>
          <w:lang w:val="en-GB"/>
        </w:rPr>
        <w:t xml:space="preserve">    </w:t>
      </w:r>
      <m:oMath>
        <m:r>
          <m:rP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m:rPr/>
              <w:rPr>
                <w:rFonts w:ascii="Cambria Math" w:hAnsi="Cambria Math" w:cs="Times New Roman"/>
                <w:sz w:val="24"/>
                <w:szCs w:val="24"/>
                <w:lang w:val="en-GB"/>
              </w:rPr>
              <m:t>θ</m:t>
            </m:r>
            <m:ctrlPr>
              <w:rPr>
                <w:rFonts w:ascii="Cambria Math" w:hAnsi="Cambria Math" w:cs="Times New Roman"/>
                <w:i/>
                <w:sz w:val="24"/>
                <w:szCs w:val="24"/>
                <w:lang w:val="en-GB"/>
              </w:rPr>
            </m:ctrlPr>
          </m:e>
          <m:sub>
            <m:r>
              <m:rPr/>
              <w:rPr>
                <w:rFonts w:ascii="Cambria Math" w:hAnsi="Cambria Math" w:cs="Times New Roman"/>
                <w:sz w:val="24"/>
                <w:szCs w:val="24"/>
                <w:lang w:val="en-GB"/>
              </w:rPr>
              <m:t>4</m:t>
            </m:r>
            <m:ctrlPr>
              <w:rPr>
                <w:rFonts w:ascii="Cambria Math" w:hAnsi="Cambria Math" w:cs="Times New Roman"/>
                <w:i/>
                <w:sz w:val="24"/>
                <w:szCs w:val="24"/>
                <w:lang w:val="en-GB"/>
              </w:rPr>
            </m:ctrlPr>
          </m:sub>
        </m:sSub>
        <m:r>
          <m:rPr/>
          <w:rPr>
            <w:rFonts w:ascii="Cambria Math" w:hAnsi="Cambria Math" w:cs="Times New Roman"/>
            <w:sz w:val="24"/>
            <w:szCs w:val="24"/>
            <w:lang w:val="en-GB"/>
          </w:rPr>
          <m:t>dow+</m:t>
        </m:r>
        <m:sSub>
          <m:sSubPr>
            <m:ctrlPr>
              <w:rPr>
                <w:rFonts w:ascii="Cambria Math" w:hAnsi="Cambria Math" w:cs="Times New Roman"/>
                <w:i/>
                <w:sz w:val="24"/>
                <w:szCs w:val="24"/>
                <w:lang w:val="en-GB"/>
              </w:rPr>
            </m:ctrlPr>
          </m:sSubPr>
          <m:e>
            <m:r>
              <m:rPr/>
              <w:rPr>
                <w:rFonts w:ascii="Cambria Math" w:hAnsi="Cambria Math" w:cs="Times New Roman"/>
                <w:sz w:val="24"/>
                <w:szCs w:val="24"/>
                <w:lang w:val="en-GB"/>
              </w:rPr>
              <m:t>θ</m:t>
            </m:r>
            <m:ctrlPr>
              <w:rPr>
                <w:rFonts w:ascii="Cambria Math" w:hAnsi="Cambria Math" w:cs="Times New Roman"/>
                <w:i/>
                <w:sz w:val="24"/>
                <w:szCs w:val="24"/>
                <w:lang w:val="en-GB"/>
              </w:rPr>
            </m:ctrlPr>
          </m:e>
          <m:sub>
            <m:r>
              <m:rPr/>
              <w:rPr>
                <w:rFonts w:ascii="Cambria Math" w:hAnsi="Cambria Math" w:cs="Times New Roman"/>
                <w:sz w:val="24"/>
                <w:szCs w:val="24"/>
                <w:lang w:val="en-GB"/>
              </w:rPr>
              <m:t>5</m:t>
            </m:r>
            <m:ctrlPr>
              <w:rPr>
                <w:rFonts w:ascii="Cambria Math" w:hAnsi="Cambria Math" w:cs="Times New Roman"/>
                <w:i/>
                <w:sz w:val="24"/>
                <w:szCs w:val="24"/>
                <w:lang w:val="en-GB"/>
              </w:rPr>
            </m:ctrlPr>
          </m:sub>
        </m:sSub>
        <m:r>
          <m:rPr/>
          <w:rPr>
            <w:rFonts w:ascii="Cambria Math" w:hAnsi="Cambria Math" w:cs="Times New Roman"/>
            <w:sz w:val="24"/>
            <w:szCs w:val="24"/>
            <w:lang w:val="en-GB"/>
          </w:rPr>
          <m:t>site</m:t>
        </m:r>
        <m:r>
          <m:rPr/>
          <w:rPr>
            <w:rFonts w:ascii="Cambria Math" w:hAnsi="Cambria Math" w:eastAsia="宋体" w:cs="Times New Roman"/>
            <w:sz w:val="24"/>
            <w:szCs w:val="24"/>
            <w:lang w:val="en-GB"/>
          </w:rPr>
          <m:t>×</m:t>
        </m:r>
        <m:r>
          <m:rPr/>
          <w:rPr>
            <w:rFonts w:ascii="Cambria Math" w:hAnsi="Cambria Math" w:cs="Times New Roman"/>
            <w:sz w:val="24"/>
            <w:szCs w:val="24"/>
            <w:lang w:val="en-GB"/>
          </w:rPr>
          <m:t>dow+</m:t>
        </m:r>
        <m:sSub>
          <m:sSubPr>
            <m:ctrlPr>
              <w:rPr>
                <w:rFonts w:ascii="Cambria Math" w:hAnsi="Cambria Math" w:cs="Times New Roman"/>
                <w:i/>
                <w:sz w:val="24"/>
                <w:szCs w:val="24"/>
                <w:lang w:val="en-GB"/>
              </w:rPr>
            </m:ctrlPr>
          </m:sSubPr>
          <m:e>
            <m:r>
              <m:rPr/>
              <w:rPr>
                <w:rFonts w:ascii="Cambria Math" w:hAnsi="Cambria Math" w:cs="Times New Roman"/>
                <w:sz w:val="24"/>
                <w:szCs w:val="24"/>
                <w:lang w:val="en-GB"/>
              </w:rPr>
              <m:t>θ</m:t>
            </m:r>
            <m:ctrlPr>
              <w:rPr>
                <w:rFonts w:ascii="Cambria Math" w:hAnsi="Cambria Math" w:cs="Times New Roman"/>
                <w:i/>
                <w:sz w:val="24"/>
                <w:szCs w:val="24"/>
                <w:lang w:val="en-GB"/>
              </w:rPr>
            </m:ctrlPr>
          </m:e>
          <m:sub>
            <m:r>
              <m:rPr/>
              <w:rPr>
                <w:rFonts w:ascii="Cambria Math" w:hAnsi="Cambria Math" w:cs="Times New Roman"/>
                <w:sz w:val="24"/>
                <w:szCs w:val="24"/>
                <w:lang w:val="en-GB"/>
              </w:rPr>
              <m:t>6</m:t>
            </m:r>
            <m:ctrlPr>
              <w:rPr>
                <w:rFonts w:ascii="Cambria Math" w:hAnsi="Cambria Math" w:cs="Times New Roman"/>
                <w:i/>
                <w:sz w:val="24"/>
                <w:szCs w:val="24"/>
                <w:lang w:val="en-GB"/>
              </w:rPr>
            </m:ctrlPr>
          </m:sub>
        </m:sSub>
        <m:r>
          <m:rPr/>
          <w:rPr>
            <w:rFonts w:ascii="Cambria Math" w:hAnsi="Cambria Math" w:cs="Times New Roman"/>
            <w:sz w:val="24"/>
            <w:szCs w:val="24"/>
            <w:lang w:val="en-GB"/>
          </w:rPr>
          <m:t>site</m:t>
        </m:r>
        <m:r>
          <m:rPr/>
          <w:rPr>
            <w:rFonts w:ascii="Cambria Math" w:hAnsi="Cambria Math" w:eastAsia="宋体" w:cs="Times New Roman"/>
            <w:sz w:val="24"/>
            <w:szCs w:val="24"/>
            <w:lang w:val="en-GB"/>
          </w:rPr>
          <m:t>×</m:t>
        </m:r>
        <m:r>
          <m:rPr/>
          <w:rPr>
            <w:rFonts w:ascii="Cambria Math" w:hAnsi="Cambria Math" w:cs="Times New Roman"/>
            <w:sz w:val="24"/>
            <w:szCs w:val="24"/>
            <w:lang w:val="en-GB"/>
          </w:rPr>
          <m:t>month</m:t>
        </m:r>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ε</m:t>
            </m:r>
            <m:ctrlPr>
              <w:rPr>
                <w:rFonts w:ascii="Cambria Math" w:hAnsi="Cambria Math" w:cs="Times New Roman"/>
                <w:i/>
                <w:sz w:val="24"/>
                <w:szCs w:val="24"/>
              </w:rPr>
            </m:ctrlPr>
          </m:e>
          <m:sub>
            <m:r>
              <m:rPr/>
              <w:rPr>
                <w:rFonts w:ascii="Cambria Math" w:hAnsi="Cambria Math" w:cs="Times New Roman"/>
                <w:sz w:val="24"/>
                <w:szCs w:val="24"/>
              </w:rPr>
              <m:t>imt</m:t>
            </m:r>
            <m:ctrlPr>
              <w:rPr>
                <w:rFonts w:ascii="Cambria Math" w:hAnsi="Cambria Math" w:cs="Times New Roman"/>
                <w:i/>
                <w:sz w:val="24"/>
                <w:szCs w:val="24"/>
              </w:rPr>
            </m:ctrlPr>
          </m:sub>
        </m:sSub>
        <m:r>
          <m:rPr/>
          <w:rPr>
            <w:rFonts w:ascii="Cambria Math" w:hAnsi="Cambria Math" w:cs="Times New Roman"/>
            <w:sz w:val="24"/>
            <w:szCs w:val="24"/>
          </w:rPr>
          <m:t xml:space="preserve"> ,</m:t>
        </m:r>
      </m:oMath>
      <w:r>
        <w:rPr>
          <w:rFonts w:ascii="Garamond" w:hAnsi="Garamond" w:cs="Times New Roman"/>
          <w:sz w:val="24"/>
          <w:szCs w:val="24"/>
        </w:rPr>
        <w:tab/>
      </w:r>
      <w:r>
        <w:rPr>
          <w:rFonts w:ascii="Garamond" w:hAnsi="Garamond" w:cs="Times New Roman"/>
          <w:sz w:val="24"/>
          <w:szCs w:val="24"/>
        </w:rPr>
        <w:t xml:space="preserve">        (2)</w:t>
      </w:r>
    </w:p>
    <w:p w14:paraId="4CD40A72">
      <w:pPr>
        <w:spacing w:line="480" w:lineRule="auto"/>
        <w:rPr>
          <w:rFonts w:ascii="Garamond" w:hAnsi="Garamond" w:cs="Times New Roman"/>
          <w:sz w:val="24"/>
          <w:szCs w:val="24"/>
        </w:rPr>
      </w:pPr>
      <w:r>
        <w:rPr>
          <w:rFonts w:ascii="Garamond" w:hAnsi="Garamond" w:cs="Times New Roman"/>
          <w:sz w:val="24"/>
          <w:szCs w:val="24"/>
        </w:rPr>
        <w:t xml:space="preserve">where </w:t>
      </w:r>
      <m:oMath>
        <m:sSub>
          <m:sSubPr>
            <m:ctrlPr>
              <w:rPr>
                <w:rFonts w:ascii="Cambria Math" w:hAnsi="Cambria Math" w:cs="Times New Roman"/>
                <w:i/>
                <w:sz w:val="24"/>
                <w:szCs w:val="24"/>
              </w:rPr>
            </m:ctrlPr>
          </m:sSubPr>
          <m:e>
            <m:r>
              <m:rPr/>
              <w:rPr>
                <w:rFonts w:ascii="Cambria Math" w:hAnsi="Cambria Math" w:cs="Times New Roman"/>
                <w:sz w:val="24"/>
                <w:szCs w:val="24"/>
              </w:rPr>
              <m:t>y</m:t>
            </m:r>
            <m:ctrlPr>
              <w:rPr>
                <w:rFonts w:ascii="Cambria Math" w:hAnsi="Cambria Math" w:cs="Times New Roman"/>
                <w:i/>
                <w:sz w:val="24"/>
                <w:szCs w:val="24"/>
              </w:rPr>
            </m:ctrlPr>
          </m:e>
          <m:sub>
            <m:r>
              <m:rPr/>
              <w:rPr>
                <w:rFonts w:ascii="Cambria Math" w:hAnsi="Cambria Math" w:cs="Times New Roman"/>
                <w:sz w:val="24"/>
                <w:szCs w:val="24"/>
              </w:rPr>
              <m:t>imt</m:t>
            </m:r>
            <m:ctrlPr>
              <w:rPr>
                <w:rFonts w:ascii="Cambria Math" w:hAnsi="Cambria Math" w:cs="Times New Roman"/>
                <w:i/>
                <w:sz w:val="24"/>
                <w:szCs w:val="24"/>
              </w:rPr>
            </m:ctrlPr>
          </m:sub>
        </m:sSub>
      </m:oMath>
      <w:r>
        <w:rPr>
          <w:rFonts w:ascii="Garamond" w:hAnsi="Garamond" w:cs="Times New Roman"/>
          <w:sz w:val="24"/>
          <w:szCs w:val="24"/>
        </w:rPr>
        <w:t xml:space="preserve"> denotes a diet outcome for each dining party/order </w:t>
      </w:r>
      <w:r>
        <w:rPr>
          <w:rFonts w:ascii="Garamond" w:hAnsi="Garamond" w:cs="Times New Roman"/>
          <w:i/>
          <w:sz w:val="24"/>
          <w:szCs w:val="24"/>
        </w:rPr>
        <w:t>i</w:t>
      </w:r>
      <w:r>
        <w:rPr>
          <w:rFonts w:ascii="Garamond" w:hAnsi="Garamond" w:cs="Times New Roman"/>
          <w:sz w:val="24"/>
          <w:szCs w:val="24"/>
        </w:rPr>
        <w:t xml:space="preserve"> that was made in restaurant site </w:t>
      </w:r>
      <w:r>
        <w:rPr>
          <w:rFonts w:ascii="Garamond" w:hAnsi="Garamond" w:cs="Times New Roman"/>
          <w:i/>
          <w:sz w:val="24"/>
          <w:szCs w:val="24"/>
        </w:rPr>
        <w:t>m</w:t>
      </w:r>
      <w:r>
        <w:rPr>
          <w:rFonts w:ascii="Garamond" w:hAnsi="Garamond" w:cs="Times New Roman"/>
          <w:sz w:val="24"/>
          <w:szCs w:val="24"/>
        </w:rPr>
        <w:t xml:space="preserve"> at time </w:t>
      </w:r>
      <w:r>
        <w:rPr>
          <w:rFonts w:ascii="Garamond" w:hAnsi="Garamond" w:cs="Times New Roman"/>
          <w:i/>
          <w:sz w:val="24"/>
          <w:szCs w:val="24"/>
        </w:rPr>
        <w:t>t</w:t>
      </w:r>
      <w:r>
        <w:rPr>
          <w:rFonts w:ascii="Garamond" w:hAnsi="Garamond" w:cs="Times New Roman"/>
          <w:sz w:val="24"/>
          <w:szCs w:val="24"/>
        </w:rPr>
        <w:t xml:space="preserve">. We employ multiple measures of meal outcomes: meal diversity (IDDS), meal imbalance (DQD), and meal quality (HEI-2015). </w:t>
      </w:r>
      <w:r>
        <w:rPr>
          <w:rFonts w:ascii="Garamond" w:hAnsi="Garamond" w:cs="Times New Roman"/>
          <w:i/>
          <w:sz w:val="24"/>
          <w:szCs w:val="24"/>
        </w:rPr>
        <w:t>TEMP</w:t>
      </w:r>
      <w:r>
        <w:rPr>
          <w:rFonts w:ascii="Garamond" w:hAnsi="Garamond" w:cs="Times New Roman"/>
          <w:sz w:val="24"/>
          <w:szCs w:val="24"/>
        </w:rPr>
        <w:t xml:space="preserve"> denotes the temperature on the day of the order at a given restaurant site, and </w:t>
      </w:r>
      <m:oMath>
        <m:r>
          <m:rPr/>
          <w:rPr>
            <w:rFonts w:ascii="Cambria Math" w:hAnsi="Cambria Math" w:cs="Times New Roman"/>
            <w:sz w:val="24"/>
            <w:szCs w:val="24"/>
          </w:rPr>
          <m:t>f(TEMP)</m:t>
        </m:r>
      </m:oMath>
      <w:r>
        <w:rPr>
          <w:rFonts w:ascii="Garamond" w:hAnsi="Garamond" w:cs="Times New Roman"/>
          <w:sz w:val="24"/>
          <w:szCs w:val="24"/>
        </w:rPr>
        <w:t xml:space="preserve"> is a function of temperature. </w:t>
      </w:r>
      <m:oMath>
        <m:r>
          <m:rPr/>
          <w:rPr>
            <w:rFonts w:ascii="Cambria Math" w:hAnsi="Cambria Math" w:cs="Times New Roman"/>
            <w:sz w:val="24"/>
            <w:szCs w:val="24"/>
          </w:rPr>
          <m:t>Ψ</m:t>
        </m:r>
      </m:oMath>
      <w:r>
        <w:rPr>
          <w:rFonts w:ascii="Garamond" w:hAnsi="Garamond" w:cs="Times New Roman"/>
          <w:sz w:val="24"/>
          <w:szCs w:val="24"/>
        </w:rPr>
        <w:t xml:space="preserve"> contains other weather-related variables, such as wind speed and precipitation, which have been shown to be associated with consumer emotional status or cognitive perceptions that may affect food consumption decisions (Denissen et al., 2008; Chen, 2019). </w:t>
      </w:r>
      <m:oMath>
        <m:r>
          <m:rPr/>
          <w:rPr>
            <w:rFonts w:ascii="Cambria Math" w:hAnsi="Cambria Math" w:cs="Times New Roman"/>
            <w:sz w:val="24"/>
            <w:szCs w:val="24"/>
          </w:rPr>
          <m:t>X</m:t>
        </m:r>
      </m:oMath>
      <w:r>
        <w:rPr>
          <w:rFonts w:ascii="Garamond" w:hAnsi="Garamond" w:cs="Times New Roman"/>
          <w:sz w:val="24"/>
          <w:szCs w:val="24"/>
        </w:rPr>
        <w:t xml:space="preserve"> denotes a set of additional control variables, including </w:t>
      </w:r>
      <w:r>
        <w:rPr>
          <w:rFonts w:ascii="Garamond" w:hAnsi="Garamond" w:eastAsia="MS Mincho" w:cs="Times New Roman"/>
          <w:sz w:val="24"/>
          <w:szCs w:val="24"/>
        </w:rPr>
        <w:t>size of the party, meal duration, dinner dummy, peak hours dummy, and daily time trend</w:t>
      </w:r>
      <w:r>
        <w:rPr>
          <w:rFonts w:ascii="Garamond" w:hAnsi="Garamond" w:cs="Times New Roman"/>
          <w:sz w:val="24"/>
          <w:szCs w:val="24"/>
        </w:rPr>
        <w:t xml:space="preserve">. </w:t>
      </w:r>
    </w:p>
    <w:p w14:paraId="1CA29162">
      <w:pPr>
        <w:spacing w:line="480" w:lineRule="auto"/>
        <w:ind w:firstLine="420"/>
        <w:rPr>
          <w:rFonts w:ascii="Garamond" w:hAnsi="Garamond" w:cs="Times New Roman"/>
          <w:sz w:val="24"/>
          <w:szCs w:val="24"/>
        </w:rPr>
      </w:pPr>
      <w:r>
        <w:rPr>
          <w:rFonts w:ascii="Garamond" w:hAnsi="Garamond" w:cs="Times New Roman"/>
          <w:sz w:val="24"/>
          <w:szCs w:val="24"/>
        </w:rPr>
        <w:t xml:space="preserve">There are a total of 2,278 fixed effects included in the HDFE model: 16 city FE, 117 site FE, 4 year FE, 11 month FE, 6 day-of-week FE, 736 site × day-of-week FE, 1,344 site × month FE, and 44 city × year FE. The inclusion of the large number of fixed effects thus provides further control for the systematic differences among customer groups dining at a specific restaurant location or time. </w:t>
      </w:r>
    </w:p>
    <w:p w14:paraId="76861B5E">
      <w:pPr>
        <w:spacing w:line="480" w:lineRule="auto"/>
        <w:ind w:firstLine="420"/>
        <w:rPr>
          <w:rFonts w:ascii="Garamond" w:hAnsi="Garamond" w:cs="Times New Roman"/>
          <w:sz w:val="24"/>
          <w:szCs w:val="24"/>
        </w:rPr>
      </w:pPr>
      <w:r>
        <w:rPr>
          <w:rFonts w:ascii="Garamond" w:hAnsi="Garamond" w:cs="Times New Roman"/>
          <w:sz w:val="24"/>
          <w:szCs w:val="24"/>
        </w:rPr>
        <w:t>In all regression analyses, we rigorously cluster standard errors at the restaurant site level. Additionally, we employ a conservative approach to calculate standard errors without any adjustment for degrees-of-freedom when absorbing fixed effects. This meticulous methodology ensures the robustness and reliability of our statistical inferences.</w:t>
      </w:r>
    </w:p>
    <w:p w14:paraId="1CB9AED0">
      <w:pPr>
        <w:spacing w:line="480" w:lineRule="auto"/>
        <w:jc w:val="left"/>
        <w:rPr>
          <w:rFonts w:ascii="Garamond" w:hAnsi="Garamond" w:cs="Times New Roman"/>
          <w:b/>
          <w:bCs/>
          <w:sz w:val="24"/>
          <w:szCs w:val="24"/>
        </w:rPr>
      </w:pPr>
    </w:p>
    <w:p w14:paraId="79094D44">
      <w:pPr>
        <w:spacing w:line="480" w:lineRule="auto"/>
        <w:jc w:val="left"/>
        <w:rPr>
          <w:rFonts w:ascii="Garamond" w:hAnsi="Garamond" w:cs="Times New Roman"/>
          <w:b/>
          <w:bCs/>
          <w:sz w:val="28"/>
          <w:szCs w:val="28"/>
        </w:rPr>
      </w:pPr>
      <w:r>
        <w:rPr>
          <w:rFonts w:ascii="Garamond" w:hAnsi="Garamond" w:cs="Times New Roman"/>
          <w:b/>
          <w:bCs/>
          <w:sz w:val="28"/>
          <w:szCs w:val="28"/>
        </w:rPr>
        <w:t>3. Results</w:t>
      </w:r>
    </w:p>
    <w:p w14:paraId="4DB17176">
      <w:pPr>
        <w:spacing w:line="480" w:lineRule="auto"/>
        <w:jc w:val="left"/>
        <w:rPr>
          <w:rFonts w:ascii="Garamond" w:hAnsi="Garamond" w:cs="Times New Roman"/>
          <w:i/>
          <w:iCs/>
          <w:sz w:val="24"/>
          <w:szCs w:val="24"/>
        </w:rPr>
      </w:pPr>
      <w:r>
        <w:rPr>
          <w:rFonts w:ascii="Garamond" w:hAnsi="Garamond" w:cs="Times New Roman"/>
          <w:i/>
          <w:iCs/>
          <w:sz w:val="24"/>
          <w:szCs w:val="24"/>
        </w:rPr>
        <w:t>3.1 Descriptive analysis</w:t>
      </w:r>
    </w:p>
    <w:p w14:paraId="07C53D35">
      <w:pPr>
        <w:spacing w:line="480" w:lineRule="auto"/>
        <w:rPr>
          <w:rFonts w:ascii="Garamond" w:hAnsi="Garamond" w:cs="Times New Roman"/>
          <w:sz w:val="24"/>
          <w:szCs w:val="24"/>
        </w:rPr>
      </w:pPr>
      <w:r>
        <w:rPr>
          <w:rFonts w:ascii="Garamond" w:hAnsi="Garamond" w:cs="Times New Roman"/>
          <w:sz w:val="24"/>
          <w:szCs w:val="24"/>
        </w:rPr>
        <w:t>A binary variable of the heat wave is also included to account for consecutive extreme hot daily temperatures, as well as 30-day cumulative days of heat waves. Table 1 provides summary statistics of the matched data. On average, the size of a dining party is 2.1 customers, and they spend 94.2 CNY (about $13) per person and 77.4 minutes in the restaurant per meal. Figure 1</w:t>
      </w:r>
      <w:r>
        <w:rPr>
          <w:rFonts w:hint="eastAsia" w:ascii="Garamond" w:hAnsi="Garamond" w:cs="Times New Roman"/>
          <w:sz w:val="24"/>
          <w:szCs w:val="24"/>
        </w:rPr>
        <w:t xml:space="preserve"> shows average climate conditions of the studied area during 2016-2020. It includes (a) average daily maximum temperature, (b) average daily minimum temperature, (c) average daily precipitation, (d) 30-day cumulative days of heat waves, and (e) a visualization of the average daily maximum temperature in 31 provinces, municipalities, and autonomous regions in China, where red dots represent meteorological stations and green dots represent 118 restaurant sites located in 17 Chinese cities investigated in this study.</w:t>
      </w:r>
    </w:p>
    <w:p w14:paraId="5E00E8B8">
      <w:pPr>
        <w:spacing w:line="480" w:lineRule="auto"/>
        <w:rPr>
          <w:rFonts w:ascii="Garamond" w:hAnsi="Garamond" w:cs="Times New Roman"/>
          <w:sz w:val="24"/>
          <w:szCs w:val="24"/>
        </w:rPr>
      </w:pPr>
    </w:p>
    <w:p w14:paraId="66B48893">
      <w:pPr>
        <w:spacing w:line="480" w:lineRule="auto"/>
        <w:jc w:val="left"/>
        <w:rPr>
          <w:rFonts w:ascii="Garamond" w:hAnsi="Garamond" w:cs="Times New Roman"/>
          <w:b/>
          <w:bCs/>
          <w:sz w:val="24"/>
          <w:szCs w:val="24"/>
        </w:rPr>
      </w:pPr>
      <w:r>
        <w:rPr>
          <w:rFonts w:ascii="Garamond" w:hAnsi="Garamond" w:cs="Times New Roman"/>
          <w:b/>
          <w:bCs/>
          <w:sz w:val="24"/>
          <w:szCs w:val="24"/>
        </w:rPr>
        <w:t>Table 1. Summary statistics of key variables (N = 15,420,075)</w:t>
      </w:r>
    </w:p>
    <w:tbl>
      <w:tblPr>
        <w:tblStyle w:val="9"/>
        <w:tblW w:w="5000" w:type="pct"/>
        <w:tblInd w:w="0" w:type="dxa"/>
        <w:tblLayout w:type="autofit"/>
        <w:tblCellMar>
          <w:top w:w="0" w:type="dxa"/>
          <w:left w:w="108" w:type="dxa"/>
          <w:bottom w:w="0" w:type="dxa"/>
          <w:right w:w="108" w:type="dxa"/>
        </w:tblCellMar>
      </w:tblPr>
      <w:tblGrid>
        <w:gridCol w:w="5089"/>
        <w:gridCol w:w="2087"/>
        <w:gridCol w:w="1031"/>
        <w:gridCol w:w="762"/>
        <w:gridCol w:w="993"/>
      </w:tblGrid>
      <w:tr w14:paraId="10009EAC">
        <w:tblPrEx>
          <w:tblCellMar>
            <w:top w:w="0" w:type="dxa"/>
            <w:left w:w="108" w:type="dxa"/>
            <w:bottom w:w="0" w:type="dxa"/>
            <w:right w:w="108" w:type="dxa"/>
          </w:tblCellMar>
        </w:tblPrEx>
        <w:trPr>
          <w:trHeight w:val="488" w:hRule="atLeast"/>
        </w:trPr>
        <w:tc>
          <w:tcPr>
            <w:tcW w:w="2558" w:type="pct"/>
            <w:tcBorders>
              <w:top w:val="double" w:color="auto" w:sz="6" w:space="0"/>
              <w:left w:val="nil"/>
              <w:bottom w:val="single" w:color="auto" w:sz="4" w:space="0"/>
              <w:right w:val="nil"/>
            </w:tcBorders>
            <w:shd w:val="clear" w:color="auto" w:fill="auto"/>
            <w:noWrap/>
            <w:vAlign w:val="center"/>
          </w:tcPr>
          <w:p w14:paraId="55C20B40">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Variable</w:t>
            </w:r>
          </w:p>
        </w:tc>
        <w:tc>
          <w:tcPr>
            <w:tcW w:w="1051" w:type="pct"/>
            <w:tcBorders>
              <w:top w:val="double" w:color="auto" w:sz="6" w:space="0"/>
              <w:left w:val="nil"/>
              <w:bottom w:val="single" w:color="auto" w:sz="4" w:space="0"/>
              <w:right w:val="nil"/>
            </w:tcBorders>
            <w:shd w:val="clear" w:color="auto" w:fill="auto"/>
            <w:noWrap/>
            <w:vAlign w:val="center"/>
          </w:tcPr>
          <w:p w14:paraId="4E94BD24">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Mean/Proportion</w:t>
            </w:r>
          </w:p>
        </w:tc>
        <w:tc>
          <w:tcPr>
            <w:tcW w:w="503" w:type="pct"/>
            <w:tcBorders>
              <w:top w:val="double" w:color="auto" w:sz="6" w:space="0"/>
              <w:left w:val="nil"/>
              <w:bottom w:val="single" w:color="auto" w:sz="4" w:space="0"/>
              <w:right w:val="nil"/>
            </w:tcBorders>
            <w:shd w:val="clear" w:color="auto" w:fill="auto"/>
            <w:noWrap/>
            <w:vAlign w:val="center"/>
          </w:tcPr>
          <w:p w14:paraId="33E20E99">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Std. Dev</w:t>
            </w:r>
          </w:p>
        </w:tc>
        <w:tc>
          <w:tcPr>
            <w:tcW w:w="386" w:type="pct"/>
            <w:tcBorders>
              <w:top w:val="double" w:color="auto" w:sz="6" w:space="0"/>
              <w:left w:val="nil"/>
              <w:bottom w:val="single" w:color="auto" w:sz="4" w:space="0"/>
              <w:right w:val="nil"/>
            </w:tcBorders>
            <w:shd w:val="clear" w:color="auto" w:fill="auto"/>
            <w:noWrap/>
            <w:vAlign w:val="center"/>
          </w:tcPr>
          <w:p w14:paraId="72C8FE4A">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Min.</w:t>
            </w:r>
          </w:p>
        </w:tc>
        <w:tc>
          <w:tcPr>
            <w:tcW w:w="502" w:type="pct"/>
            <w:tcBorders>
              <w:top w:val="double" w:color="auto" w:sz="6" w:space="0"/>
              <w:left w:val="nil"/>
              <w:bottom w:val="single" w:color="auto" w:sz="4" w:space="0"/>
              <w:right w:val="nil"/>
            </w:tcBorders>
            <w:shd w:val="clear" w:color="auto" w:fill="auto"/>
            <w:noWrap/>
            <w:vAlign w:val="center"/>
          </w:tcPr>
          <w:p w14:paraId="3D2DEB3C">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Max.</w:t>
            </w:r>
          </w:p>
        </w:tc>
      </w:tr>
      <w:tr w14:paraId="5C6E9B8E">
        <w:tblPrEx>
          <w:tblCellMar>
            <w:top w:w="0" w:type="dxa"/>
            <w:left w:w="108" w:type="dxa"/>
            <w:bottom w:w="0" w:type="dxa"/>
            <w:right w:w="108" w:type="dxa"/>
          </w:tblCellMar>
        </w:tblPrEx>
        <w:trPr>
          <w:trHeight w:val="233" w:hRule="atLeast"/>
        </w:trPr>
        <w:tc>
          <w:tcPr>
            <w:tcW w:w="2558" w:type="pct"/>
            <w:tcBorders>
              <w:top w:val="nil"/>
              <w:left w:val="nil"/>
              <w:bottom w:val="nil"/>
              <w:right w:val="nil"/>
            </w:tcBorders>
            <w:shd w:val="clear" w:color="auto" w:fill="auto"/>
            <w:noWrap/>
            <w:vAlign w:val="center"/>
          </w:tcPr>
          <w:p w14:paraId="342AB29F">
            <w:pPr>
              <w:widowControl/>
              <w:jc w:val="left"/>
              <w:rPr>
                <w:rFonts w:ascii="Garamond" w:hAnsi="Garamond" w:eastAsia="等线" w:cs="Times New Roman"/>
                <w:color w:val="000000"/>
                <w:kern w:val="0"/>
                <w:sz w:val="24"/>
                <w:szCs w:val="24"/>
              </w:rPr>
            </w:pPr>
          </w:p>
        </w:tc>
        <w:tc>
          <w:tcPr>
            <w:tcW w:w="1051" w:type="pct"/>
            <w:tcBorders>
              <w:top w:val="nil"/>
              <w:left w:val="nil"/>
              <w:bottom w:val="nil"/>
              <w:right w:val="nil"/>
            </w:tcBorders>
            <w:shd w:val="clear" w:color="auto" w:fill="auto"/>
            <w:noWrap/>
            <w:vAlign w:val="center"/>
          </w:tcPr>
          <w:p w14:paraId="6C9046A4">
            <w:pPr>
              <w:widowControl/>
              <w:jc w:val="left"/>
              <w:rPr>
                <w:rFonts w:ascii="Garamond" w:hAnsi="Garamond" w:eastAsia="Times New Roman" w:cs="Times New Roman"/>
                <w:kern w:val="0"/>
                <w:sz w:val="24"/>
                <w:szCs w:val="24"/>
              </w:rPr>
            </w:pPr>
          </w:p>
        </w:tc>
        <w:tc>
          <w:tcPr>
            <w:tcW w:w="503" w:type="pct"/>
            <w:tcBorders>
              <w:top w:val="nil"/>
              <w:left w:val="nil"/>
              <w:bottom w:val="nil"/>
              <w:right w:val="nil"/>
            </w:tcBorders>
            <w:shd w:val="clear" w:color="auto" w:fill="auto"/>
            <w:noWrap/>
            <w:vAlign w:val="center"/>
          </w:tcPr>
          <w:p w14:paraId="51184538">
            <w:pPr>
              <w:widowControl/>
              <w:jc w:val="left"/>
              <w:rPr>
                <w:rFonts w:ascii="Garamond" w:hAnsi="Garamond" w:eastAsia="Times New Roman" w:cs="Times New Roman"/>
                <w:kern w:val="0"/>
                <w:sz w:val="24"/>
                <w:szCs w:val="24"/>
              </w:rPr>
            </w:pPr>
          </w:p>
        </w:tc>
        <w:tc>
          <w:tcPr>
            <w:tcW w:w="386" w:type="pct"/>
            <w:tcBorders>
              <w:top w:val="nil"/>
              <w:left w:val="nil"/>
              <w:bottom w:val="nil"/>
              <w:right w:val="nil"/>
            </w:tcBorders>
            <w:shd w:val="clear" w:color="auto" w:fill="auto"/>
            <w:noWrap/>
            <w:vAlign w:val="center"/>
          </w:tcPr>
          <w:p w14:paraId="1FE86AF4">
            <w:pPr>
              <w:widowControl/>
              <w:jc w:val="left"/>
              <w:rPr>
                <w:rFonts w:ascii="Garamond" w:hAnsi="Garamond" w:eastAsia="Times New Roman" w:cs="Times New Roman"/>
                <w:kern w:val="0"/>
                <w:sz w:val="24"/>
                <w:szCs w:val="24"/>
              </w:rPr>
            </w:pPr>
          </w:p>
        </w:tc>
        <w:tc>
          <w:tcPr>
            <w:tcW w:w="502" w:type="pct"/>
            <w:tcBorders>
              <w:top w:val="nil"/>
              <w:left w:val="nil"/>
              <w:bottom w:val="nil"/>
              <w:right w:val="nil"/>
            </w:tcBorders>
            <w:shd w:val="clear" w:color="auto" w:fill="auto"/>
            <w:noWrap/>
            <w:vAlign w:val="center"/>
          </w:tcPr>
          <w:p w14:paraId="65220A7B">
            <w:pPr>
              <w:widowControl/>
              <w:jc w:val="left"/>
              <w:rPr>
                <w:rFonts w:ascii="Garamond" w:hAnsi="Garamond" w:eastAsia="Times New Roman" w:cs="Times New Roman"/>
                <w:kern w:val="0"/>
                <w:sz w:val="24"/>
                <w:szCs w:val="24"/>
              </w:rPr>
            </w:pPr>
          </w:p>
        </w:tc>
      </w:tr>
      <w:tr w14:paraId="0146C215">
        <w:tblPrEx>
          <w:tblCellMar>
            <w:top w:w="0" w:type="dxa"/>
            <w:left w:w="108" w:type="dxa"/>
            <w:bottom w:w="0" w:type="dxa"/>
            <w:right w:w="108" w:type="dxa"/>
          </w:tblCellMar>
        </w:tblPrEx>
        <w:trPr>
          <w:trHeight w:val="233" w:hRule="atLeast"/>
        </w:trPr>
        <w:tc>
          <w:tcPr>
            <w:tcW w:w="2558" w:type="pct"/>
            <w:tcBorders>
              <w:top w:val="nil"/>
              <w:left w:val="nil"/>
              <w:bottom w:val="nil"/>
              <w:right w:val="nil"/>
            </w:tcBorders>
            <w:shd w:val="clear" w:color="auto" w:fill="auto"/>
            <w:noWrap/>
            <w:vAlign w:val="center"/>
          </w:tcPr>
          <w:p w14:paraId="285392A1">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Total spending (in CNY)</w:t>
            </w:r>
          </w:p>
        </w:tc>
        <w:tc>
          <w:tcPr>
            <w:tcW w:w="1051" w:type="pct"/>
            <w:tcBorders>
              <w:top w:val="nil"/>
              <w:left w:val="nil"/>
              <w:bottom w:val="nil"/>
              <w:right w:val="nil"/>
            </w:tcBorders>
            <w:shd w:val="clear" w:color="auto" w:fill="auto"/>
            <w:noWrap/>
            <w:vAlign w:val="center"/>
          </w:tcPr>
          <w:p w14:paraId="2B59ECF6">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194.8 </w:t>
            </w:r>
          </w:p>
        </w:tc>
        <w:tc>
          <w:tcPr>
            <w:tcW w:w="503" w:type="pct"/>
            <w:tcBorders>
              <w:top w:val="nil"/>
              <w:left w:val="nil"/>
              <w:bottom w:val="nil"/>
              <w:right w:val="nil"/>
            </w:tcBorders>
            <w:shd w:val="clear" w:color="auto" w:fill="auto"/>
            <w:noWrap/>
            <w:vAlign w:val="center"/>
          </w:tcPr>
          <w:p w14:paraId="7D60E1E3">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124.5 </w:t>
            </w:r>
          </w:p>
        </w:tc>
        <w:tc>
          <w:tcPr>
            <w:tcW w:w="386" w:type="pct"/>
            <w:tcBorders>
              <w:top w:val="nil"/>
              <w:left w:val="nil"/>
              <w:bottom w:val="nil"/>
              <w:right w:val="nil"/>
            </w:tcBorders>
            <w:shd w:val="clear" w:color="auto" w:fill="auto"/>
            <w:noWrap/>
            <w:vAlign w:val="center"/>
          </w:tcPr>
          <w:p w14:paraId="782FE2A5">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8.1 </w:t>
            </w:r>
          </w:p>
        </w:tc>
        <w:tc>
          <w:tcPr>
            <w:tcW w:w="502" w:type="pct"/>
            <w:tcBorders>
              <w:top w:val="nil"/>
              <w:left w:val="nil"/>
              <w:bottom w:val="nil"/>
              <w:right w:val="nil"/>
            </w:tcBorders>
            <w:shd w:val="clear" w:color="auto" w:fill="auto"/>
            <w:noWrap/>
            <w:vAlign w:val="center"/>
          </w:tcPr>
          <w:p w14:paraId="4E8E1A43">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5212.0 </w:t>
            </w:r>
          </w:p>
        </w:tc>
      </w:tr>
      <w:tr w14:paraId="04B49D94">
        <w:tblPrEx>
          <w:tblCellMar>
            <w:top w:w="0" w:type="dxa"/>
            <w:left w:w="108" w:type="dxa"/>
            <w:bottom w:w="0" w:type="dxa"/>
            <w:right w:w="108" w:type="dxa"/>
          </w:tblCellMar>
        </w:tblPrEx>
        <w:trPr>
          <w:trHeight w:val="233" w:hRule="atLeast"/>
        </w:trPr>
        <w:tc>
          <w:tcPr>
            <w:tcW w:w="2558" w:type="pct"/>
            <w:tcBorders>
              <w:top w:val="nil"/>
              <w:left w:val="nil"/>
              <w:bottom w:val="nil"/>
              <w:right w:val="nil"/>
            </w:tcBorders>
            <w:shd w:val="clear" w:color="auto" w:fill="auto"/>
            <w:noWrap/>
            <w:vAlign w:val="center"/>
          </w:tcPr>
          <w:p w14:paraId="78C7984C">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Spending per person (in CNY)</w:t>
            </w:r>
          </w:p>
        </w:tc>
        <w:tc>
          <w:tcPr>
            <w:tcW w:w="1051" w:type="pct"/>
            <w:tcBorders>
              <w:top w:val="nil"/>
              <w:left w:val="nil"/>
              <w:bottom w:val="nil"/>
              <w:right w:val="nil"/>
            </w:tcBorders>
            <w:shd w:val="clear" w:color="auto" w:fill="auto"/>
            <w:noWrap/>
            <w:vAlign w:val="center"/>
          </w:tcPr>
          <w:p w14:paraId="2A507C55">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94.2 </w:t>
            </w:r>
          </w:p>
        </w:tc>
        <w:tc>
          <w:tcPr>
            <w:tcW w:w="503" w:type="pct"/>
            <w:tcBorders>
              <w:top w:val="nil"/>
              <w:left w:val="nil"/>
              <w:bottom w:val="nil"/>
              <w:right w:val="nil"/>
            </w:tcBorders>
            <w:shd w:val="clear" w:color="auto" w:fill="auto"/>
            <w:noWrap/>
            <w:vAlign w:val="center"/>
          </w:tcPr>
          <w:p w14:paraId="2E7564C4">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42.0 </w:t>
            </w:r>
          </w:p>
        </w:tc>
        <w:tc>
          <w:tcPr>
            <w:tcW w:w="386" w:type="pct"/>
            <w:tcBorders>
              <w:top w:val="nil"/>
              <w:left w:val="nil"/>
              <w:bottom w:val="nil"/>
              <w:right w:val="nil"/>
            </w:tcBorders>
            <w:shd w:val="clear" w:color="auto" w:fill="auto"/>
            <w:noWrap/>
            <w:vAlign w:val="center"/>
          </w:tcPr>
          <w:p w14:paraId="7957836B">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5.2 </w:t>
            </w:r>
          </w:p>
        </w:tc>
        <w:tc>
          <w:tcPr>
            <w:tcW w:w="502" w:type="pct"/>
            <w:tcBorders>
              <w:top w:val="nil"/>
              <w:left w:val="nil"/>
              <w:bottom w:val="nil"/>
              <w:right w:val="nil"/>
            </w:tcBorders>
            <w:shd w:val="clear" w:color="auto" w:fill="auto"/>
            <w:noWrap/>
            <w:vAlign w:val="center"/>
          </w:tcPr>
          <w:p w14:paraId="2F2E91FB">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476.0 </w:t>
            </w:r>
          </w:p>
        </w:tc>
      </w:tr>
      <w:tr w14:paraId="2719A67A">
        <w:tblPrEx>
          <w:tblCellMar>
            <w:top w:w="0" w:type="dxa"/>
            <w:left w:w="108" w:type="dxa"/>
            <w:bottom w:w="0" w:type="dxa"/>
            <w:right w:w="108" w:type="dxa"/>
          </w:tblCellMar>
        </w:tblPrEx>
        <w:trPr>
          <w:trHeight w:val="233" w:hRule="atLeast"/>
        </w:trPr>
        <w:tc>
          <w:tcPr>
            <w:tcW w:w="2558" w:type="pct"/>
            <w:tcBorders>
              <w:top w:val="nil"/>
              <w:left w:val="nil"/>
              <w:bottom w:val="nil"/>
              <w:right w:val="nil"/>
            </w:tcBorders>
            <w:shd w:val="clear" w:color="auto" w:fill="auto"/>
            <w:noWrap/>
            <w:vAlign w:val="center"/>
          </w:tcPr>
          <w:p w14:paraId="156D0292">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Meal duration (in minutes)</w:t>
            </w:r>
          </w:p>
        </w:tc>
        <w:tc>
          <w:tcPr>
            <w:tcW w:w="1051" w:type="pct"/>
            <w:tcBorders>
              <w:top w:val="nil"/>
              <w:left w:val="nil"/>
              <w:bottom w:val="nil"/>
              <w:right w:val="nil"/>
            </w:tcBorders>
            <w:shd w:val="clear" w:color="auto" w:fill="auto"/>
            <w:noWrap/>
            <w:vAlign w:val="center"/>
          </w:tcPr>
          <w:p w14:paraId="116D7C4A">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77.4 </w:t>
            </w:r>
          </w:p>
        </w:tc>
        <w:tc>
          <w:tcPr>
            <w:tcW w:w="503" w:type="pct"/>
            <w:tcBorders>
              <w:top w:val="nil"/>
              <w:left w:val="nil"/>
              <w:bottom w:val="nil"/>
              <w:right w:val="nil"/>
            </w:tcBorders>
            <w:shd w:val="clear" w:color="auto" w:fill="auto"/>
            <w:noWrap/>
            <w:vAlign w:val="center"/>
          </w:tcPr>
          <w:p w14:paraId="3CA4EBBC">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61.6 </w:t>
            </w:r>
          </w:p>
        </w:tc>
        <w:tc>
          <w:tcPr>
            <w:tcW w:w="386" w:type="pct"/>
            <w:tcBorders>
              <w:top w:val="nil"/>
              <w:left w:val="nil"/>
              <w:bottom w:val="nil"/>
              <w:right w:val="nil"/>
            </w:tcBorders>
            <w:shd w:val="clear" w:color="auto" w:fill="auto"/>
            <w:noWrap/>
            <w:vAlign w:val="center"/>
          </w:tcPr>
          <w:p w14:paraId="569D69A6">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10.0 </w:t>
            </w:r>
          </w:p>
        </w:tc>
        <w:tc>
          <w:tcPr>
            <w:tcW w:w="502" w:type="pct"/>
            <w:tcBorders>
              <w:top w:val="nil"/>
              <w:left w:val="nil"/>
              <w:bottom w:val="nil"/>
              <w:right w:val="nil"/>
            </w:tcBorders>
            <w:shd w:val="clear" w:color="auto" w:fill="auto"/>
            <w:noWrap/>
            <w:vAlign w:val="center"/>
          </w:tcPr>
          <w:p w14:paraId="5C13B268">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347.0 </w:t>
            </w:r>
          </w:p>
        </w:tc>
      </w:tr>
      <w:tr w14:paraId="2EE7986E">
        <w:tblPrEx>
          <w:tblCellMar>
            <w:top w:w="0" w:type="dxa"/>
            <w:left w:w="108" w:type="dxa"/>
            <w:bottom w:w="0" w:type="dxa"/>
            <w:right w:w="108" w:type="dxa"/>
          </w:tblCellMar>
        </w:tblPrEx>
        <w:trPr>
          <w:trHeight w:val="233" w:hRule="atLeast"/>
        </w:trPr>
        <w:tc>
          <w:tcPr>
            <w:tcW w:w="2558" w:type="pct"/>
            <w:tcBorders>
              <w:top w:val="nil"/>
              <w:left w:val="nil"/>
              <w:bottom w:val="nil"/>
              <w:right w:val="nil"/>
            </w:tcBorders>
            <w:shd w:val="clear" w:color="auto" w:fill="auto"/>
            <w:noWrap/>
            <w:vAlign w:val="center"/>
          </w:tcPr>
          <w:p w14:paraId="39FCB5FC">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Size of party</w:t>
            </w:r>
          </w:p>
        </w:tc>
        <w:tc>
          <w:tcPr>
            <w:tcW w:w="1051" w:type="pct"/>
            <w:tcBorders>
              <w:top w:val="nil"/>
              <w:left w:val="nil"/>
              <w:bottom w:val="nil"/>
              <w:right w:val="nil"/>
            </w:tcBorders>
            <w:shd w:val="clear" w:color="auto" w:fill="auto"/>
            <w:noWrap/>
            <w:vAlign w:val="center"/>
          </w:tcPr>
          <w:p w14:paraId="25789D3A">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2.1 </w:t>
            </w:r>
          </w:p>
        </w:tc>
        <w:tc>
          <w:tcPr>
            <w:tcW w:w="503" w:type="pct"/>
            <w:tcBorders>
              <w:top w:val="nil"/>
              <w:left w:val="nil"/>
              <w:bottom w:val="nil"/>
              <w:right w:val="nil"/>
            </w:tcBorders>
            <w:shd w:val="clear" w:color="auto" w:fill="auto"/>
            <w:noWrap/>
            <w:vAlign w:val="center"/>
          </w:tcPr>
          <w:p w14:paraId="47F016B7">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1.2 </w:t>
            </w:r>
          </w:p>
        </w:tc>
        <w:tc>
          <w:tcPr>
            <w:tcW w:w="386" w:type="pct"/>
            <w:tcBorders>
              <w:top w:val="nil"/>
              <w:left w:val="nil"/>
              <w:bottom w:val="nil"/>
              <w:right w:val="nil"/>
            </w:tcBorders>
            <w:shd w:val="clear" w:color="auto" w:fill="auto"/>
            <w:noWrap/>
            <w:vAlign w:val="center"/>
          </w:tcPr>
          <w:p w14:paraId="0D35896E">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1.0 </w:t>
            </w:r>
          </w:p>
        </w:tc>
        <w:tc>
          <w:tcPr>
            <w:tcW w:w="502" w:type="pct"/>
            <w:tcBorders>
              <w:top w:val="nil"/>
              <w:left w:val="nil"/>
              <w:bottom w:val="nil"/>
              <w:right w:val="nil"/>
            </w:tcBorders>
            <w:shd w:val="clear" w:color="auto" w:fill="auto"/>
            <w:noWrap/>
            <w:vAlign w:val="center"/>
          </w:tcPr>
          <w:p w14:paraId="5AF1296F">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21.0 </w:t>
            </w:r>
          </w:p>
        </w:tc>
      </w:tr>
      <w:tr w14:paraId="6CE81C3B">
        <w:tblPrEx>
          <w:tblCellMar>
            <w:top w:w="0" w:type="dxa"/>
            <w:left w:w="108" w:type="dxa"/>
            <w:bottom w:w="0" w:type="dxa"/>
            <w:right w:w="108" w:type="dxa"/>
          </w:tblCellMar>
        </w:tblPrEx>
        <w:trPr>
          <w:trHeight w:val="233" w:hRule="atLeast"/>
        </w:trPr>
        <w:tc>
          <w:tcPr>
            <w:tcW w:w="2558" w:type="pct"/>
            <w:tcBorders>
              <w:top w:val="nil"/>
              <w:left w:val="nil"/>
              <w:bottom w:val="nil"/>
              <w:right w:val="nil"/>
            </w:tcBorders>
            <w:shd w:val="clear" w:color="auto" w:fill="auto"/>
            <w:noWrap/>
            <w:vAlign w:val="center"/>
          </w:tcPr>
          <w:p w14:paraId="0C8EC1F8">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Meal diversity (IDDS)</w:t>
            </w:r>
          </w:p>
        </w:tc>
        <w:tc>
          <w:tcPr>
            <w:tcW w:w="1051" w:type="pct"/>
            <w:tcBorders>
              <w:top w:val="nil"/>
              <w:left w:val="nil"/>
              <w:bottom w:val="nil"/>
              <w:right w:val="nil"/>
            </w:tcBorders>
            <w:shd w:val="clear" w:color="auto" w:fill="auto"/>
            <w:noWrap/>
            <w:vAlign w:val="center"/>
          </w:tcPr>
          <w:p w14:paraId="72A3ADE4">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3.8 </w:t>
            </w:r>
          </w:p>
        </w:tc>
        <w:tc>
          <w:tcPr>
            <w:tcW w:w="503" w:type="pct"/>
            <w:tcBorders>
              <w:top w:val="nil"/>
              <w:left w:val="nil"/>
              <w:bottom w:val="nil"/>
              <w:right w:val="nil"/>
            </w:tcBorders>
            <w:shd w:val="clear" w:color="auto" w:fill="auto"/>
            <w:noWrap/>
            <w:vAlign w:val="center"/>
          </w:tcPr>
          <w:p w14:paraId="20B2EE10">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1.1 </w:t>
            </w:r>
          </w:p>
        </w:tc>
        <w:tc>
          <w:tcPr>
            <w:tcW w:w="386" w:type="pct"/>
            <w:tcBorders>
              <w:top w:val="nil"/>
              <w:left w:val="nil"/>
              <w:bottom w:val="nil"/>
              <w:right w:val="nil"/>
            </w:tcBorders>
            <w:shd w:val="clear" w:color="auto" w:fill="auto"/>
            <w:noWrap/>
            <w:vAlign w:val="center"/>
          </w:tcPr>
          <w:p w14:paraId="47029B14">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0.0 </w:t>
            </w:r>
          </w:p>
        </w:tc>
        <w:tc>
          <w:tcPr>
            <w:tcW w:w="502" w:type="pct"/>
            <w:tcBorders>
              <w:top w:val="nil"/>
              <w:left w:val="nil"/>
              <w:bottom w:val="nil"/>
              <w:right w:val="nil"/>
            </w:tcBorders>
            <w:shd w:val="clear" w:color="auto" w:fill="auto"/>
            <w:noWrap/>
            <w:vAlign w:val="center"/>
          </w:tcPr>
          <w:p w14:paraId="37DDF1B2">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9.0 </w:t>
            </w:r>
          </w:p>
        </w:tc>
      </w:tr>
      <w:tr w14:paraId="119894C7">
        <w:tblPrEx>
          <w:tblCellMar>
            <w:top w:w="0" w:type="dxa"/>
            <w:left w:w="108" w:type="dxa"/>
            <w:bottom w:w="0" w:type="dxa"/>
            <w:right w:w="108" w:type="dxa"/>
          </w:tblCellMar>
        </w:tblPrEx>
        <w:trPr>
          <w:trHeight w:val="233" w:hRule="atLeast"/>
        </w:trPr>
        <w:tc>
          <w:tcPr>
            <w:tcW w:w="2558" w:type="pct"/>
            <w:tcBorders>
              <w:top w:val="nil"/>
              <w:left w:val="nil"/>
              <w:bottom w:val="nil"/>
              <w:right w:val="nil"/>
            </w:tcBorders>
            <w:shd w:val="clear" w:color="auto" w:fill="auto"/>
            <w:noWrap/>
            <w:vAlign w:val="center"/>
          </w:tcPr>
          <w:p w14:paraId="6FA1BC88">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Meal balance (DQD)</w:t>
            </w:r>
          </w:p>
        </w:tc>
        <w:tc>
          <w:tcPr>
            <w:tcW w:w="1051" w:type="pct"/>
            <w:tcBorders>
              <w:top w:val="nil"/>
              <w:left w:val="nil"/>
              <w:bottom w:val="nil"/>
              <w:right w:val="nil"/>
            </w:tcBorders>
            <w:shd w:val="clear" w:color="auto" w:fill="auto"/>
            <w:noWrap/>
            <w:vAlign w:val="center"/>
          </w:tcPr>
          <w:p w14:paraId="09FEF1C8">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23.0 </w:t>
            </w:r>
          </w:p>
        </w:tc>
        <w:tc>
          <w:tcPr>
            <w:tcW w:w="503" w:type="pct"/>
            <w:tcBorders>
              <w:top w:val="nil"/>
              <w:left w:val="nil"/>
              <w:bottom w:val="nil"/>
              <w:right w:val="nil"/>
            </w:tcBorders>
            <w:shd w:val="clear" w:color="auto" w:fill="auto"/>
            <w:noWrap/>
            <w:vAlign w:val="center"/>
          </w:tcPr>
          <w:p w14:paraId="0C330F09">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5.0 </w:t>
            </w:r>
          </w:p>
        </w:tc>
        <w:tc>
          <w:tcPr>
            <w:tcW w:w="386" w:type="pct"/>
            <w:tcBorders>
              <w:top w:val="nil"/>
              <w:left w:val="nil"/>
              <w:bottom w:val="nil"/>
              <w:right w:val="nil"/>
            </w:tcBorders>
            <w:shd w:val="clear" w:color="auto" w:fill="auto"/>
            <w:noWrap/>
            <w:vAlign w:val="center"/>
          </w:tcPr>
          <w:p w14:paraId="0A2CAB0B">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2.0 </w:t>
            </w:r>
          </w:p>
        </w:tc>
        <w:tc>
          <w:tcPr>
            <w:tcW w:w="502" w:type="pct"/>
            <w:tcBorders>
              <w:top w:val="nil"/>
              <w:left w:val="nil"/>
              <w:bottom w:val="nil"/>
              <w:right w:val="nil"/>
            </w:tcBorders>
            <w:shd w:val="clear" w:color="auto" w:fill="auto"/>
            <w:noWrap/>
            <w:vAlign w:val="center"/>
          </w:tcPr>
          <w:p w14:paraId="594974D9">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35.0 </w:t>
            </w:r>
          </w:p>
        </w:tc>
      </w:tr>
      <w:tr w14:paraId="65FB2A77">
        <w:tblPrEx>
          <w:tblCellMar>
            <w:top w:w="0" w:type="dxa"/>
            <w:left w:w="108" w:type="dxa"/>
            <w:bottom w:w="0" w:type="dxa"/>
            <w:right w:w="108" w:type="dxa"/>
          </w:tblCellMar>
        </w:tblPrEx>
        <w:trPr>
          <w:trHeight w:val="233" w:hRule="atLeast"/>
        </w:trPr>
        <w:tc>
          <w:tcPr>
            <w:tcW w:w="2558" w:type="pct"/>
            <w:tcBorders>
              <w:top w:val="nil"/>
              <w:left w:val="nil"/>
              <w:bottom w:val="nil"/>
              <w:right w:val="nil"/>
            </w:tcBorders>
            <w:shd w:val="clear" w:color="auto" w:fill="auto"/>
            <w:noWrap/>
            <w:vAlign w:val="center"/>
          </w:tcPr>
          <w:p w14:paraId="31110B0E">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Meal quality (HEI-2015)</w:t>
            </w:r>
          </w:p>
        </w:tc>
        <w:tc>
          <w:tcPr>
            <w:tcW w:w="1051" w:type="pct"/>
            <w:tcBorders>
              <w:top w:val="nil"/>
              <w:left w:val="nil"/>
              <w:bottom w:val="nil"/>
              <w:right w:val="nil"/>
            </w:tcBorders>
            <w:shd w:val="clear" w:color="auto" w:fill="auto"/>
            <w:noWrap/>
            <w:vAlign w:val="center"/>
          </w:tcPr>
          <w:p w14:paraId="0E0D6E10">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34.5 </w:t>
            </w:r>
          </w:p>
        </w:tc>
        <w:tc>
          <w:tcPr>
            <w:tcW w:w="503" w:type="pct"/>
            <w:tcBorders>
              <w:top w:val="nil"/>
              <w:left w:val="nil"/>
              <w:bottom w:val="nil"/>
              <w:right w:val="nil"/>
            </w:tcBorders>
            <w:shd w:val="clear" w:color="auto" w:fill="auto"/>
            <w:noWrap/>
            <w:vAlign w:val="center"/>
          </w:tcPr>
          <w:p w14:paraId="58C8FEA6">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8.1 </w:t>
            </w:r>
          </w:p>
        </w:tc>
        <w:tc>
          <w:tcPr>
            <w:tcW w:w="386" w:type="pct"/>
            <w:tcBorders>
              <w:top w:val="nil"/>
              <w:left w:val="nil"/>
              <w:bottom w:val="nil"/>
              <w:right w:val="nil"/>
            </w:tcBorders>
            <w:shd w:val="clear" w:color="auto" w:fill="auto"/>
            <w:noWrap/>
            <w:vAlign w:val="center"/>
          </w:tcPr>
          <w:p w14:paraId="20338B54">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10.0 </w:t>
            </w:r>
          </w:p>
        </w:tc>
        <w:tc>
          <w:tcPr>
            <w:tcW w:w="502" w:type="pct"/>
            <w:tcBorders>
              <w:top w:val="nil"/>
              <w:left w:val="nil"/>
              <w:bottom w:val="nil"/>
              <w:right w:val="nil"/>
            </w:tcBorders>
            <w:shd w:val="clear" w:color="auto" w:fill="auto"/>
            <w:noWrap/>
            <w:vAlign w:val="center"/>
          </w:tcPr>
          <w:p w14:paraId="7F8E8162">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60.0 </w:t>
            </w:r>
          </w:p>
        </w:tc>
      </w:tr>
      <w:tr w14:paraId="034F85E9">
        <w:tblPrEx>
          <w:tblCellMar>
            <w:top w:w="0" w:type="dxa"/>
            <w:left w:w="108" w:type="dxa"/>
            <w:bottom w:w="0" w:type="dxa"/>
            <w:right w:w="108" w:type="dxa"/>
          </w:tblCellMar>
        </w:tblPrEx>
        <w:trPr>
          <w:trHeight w:val="233" w:hRule="atLeast"/>
        </w:trPr>
        <w:tc>
          <w:tcPr>
            <w:tcW w:w="2558" w:type="pct"/>
            <w:tcBorders>
              <w:top w:val="nil"/>
              <w:left w:val="nil"/>
              <w:bottom w:val="nil"/>
              <w:right w:val="nil"/>
            </w:tcBorders>
            <w:shd w:val="clear" w:color="auto" w:fill="auto"/>
            <w:noWrap/>
            <w:vAlign w:val="center"/>
          </w:tcPr>
          <w:p w14:paraId="028FE7DC">
            <w:pPr>
              <w:widowControl/>
              <w:jc w:val="left"/>
              <w:rPr>
                <w:rFonts w:ascii="Garamond" w:hAnsi="Garamond" w:eastAsia="等线" w:cs="Times New Roman"/>
                <w:color w:val="000000"/>
                <w:kern w:val="0"/>
                <w:sz w:val="24"/>
                <w:szCs w:val="24"/>
              </w:rPr>
            </w:pPr>
          </w:p>
        </w:tc>
        <w:tc>
          <w:tcPr>
            <w:tcW w:w="1051" w:type="pct"/>
            <w:tcBorders>
              <w:top w:val="nil"/>
              <w:left w:val="nil"/>
              <w:bottom w:val="nil"/>
              <w:right w:val="nil"/>
            </w:tcBorders>
            <w:shd w:val="clear" w:color="auto" w:fill="auto"/>
            <w:noWrap/>
            <w:vAlign w:val="center"/>
          </w:tcPr>
          <w:p w14:paraId="4C86E9D1">
            <w:pPr>
              <w:widowControl/>
              <w:jc w:val="left"/>
              <w:rPr>
                <w:rFonts w:ascii="Garamond" w:hAnsi="Garamond" w:eastAsia="Times New Roman" w:cs="Times New Roman"/>
                <w:kern w:val="0"/>
                <w:sz w:val="24"/>
                <w:szCs w:val="24"/>
              </w:rPr>
            </w:pPr>
          </w:p>
        </w:tc>
        <w:tc>
          <w:tcPr>
            <w:tcW w:w="503" w:type="pct"/>
            <w:tcBorders>
              <w:top w:val="nil"/>
              <w:left w:val="nil"/>
              <w:bottom w:val="nil"/>
              <w:right w:val="nil"/>
            </w:tcBorders>
            <w:shd w:val="clear" w:color="auto" w:fill="auto"/>
            <w:noWrap/>
            <w:vAlign w:val="center"/>
          </w:tcPr>
          <w:p w14:paraId="0B24966B">
            <w:pPr>
              <w:widowControl/>
              <w:jc w:val="left"/>
              <w:rPr>
                <w:rFonts w:ascii="Garamond" w:hAnsi="Garamond" w:eastAsia="Times New Roman" w:cs="Times New Roman"/>
                <w:kern w:val="0"/>
                <w:sz w:val="24"/>
                <w:szCs w:val="24"/>
              </w:rPr>
            </w:pPr>
          </w:p>
        </w:tc>
        <w:tc>
          <w:tcPr>
            <w:tcW w:w="386" w:type="pct"/>
            <w:tcBorders>
              <w:top w:val="nil"/>
              <w:left w:val="nil"/>
              <w:bottom w:val="nil"/>
              <w:right w:val="nil"/>
            </w:tcBorders>
            <w:shd w:val="clear" w:color="auto" w:fill="auto"/>
            <w:noWrap/>
            <w:vAlign w:val="center"/>
          </w:tcPr>
          <w:p w14:paraId="01C4B375">
            <w:pPr>
              <w:widowControl/>
              <w:jc w:val="left"/>
              <w:rPr>
                <w:rFonts w:ascii="Garamond" w:hAnsi="Garamond" w:eastAsia="Times New Roman" w:cs="Times New Roman"/>
                <w:kern w:val="0"/>
                <w:sz w:val="24"/>
                <w:szCs w:val="24"/>
              </w:rPr>
            </w:pPr>
          </w:p>
        </w:tc>
        <w:tc>
          <w:tcPr>
            <w:tcW w:w="502" w:type="pct"/>
            <w:tcBorders>
              <w:top w:val="nil"/>
              <w:left w:val="nil"/>
              <w:bottom w:val="nil"/>
              <w:right w:val="nil"/>
            </w:tcBorders>
            <w:shd w:val="clear" w:color="auto" w:fill="auto"/>
            <w:noWrap/>
            <w:vAlign w:val="center"/>
          </w:tcPr>
          <w:p w14:paraId="04AFA549">
            <w:pPr>
              <w:widowControl/>
              <w:jc w:val="left"/>
              <w:rPr>
                <w:rFonts w:ascii="Garamond" w:hAnsi="Garamond" w:eastAsia="Times New Roman" w:cs="Times New Roman"/>
                <w:kern w:val="0"/>
                <w:sz w:val="24"/>
                <w:szCs w:val="24"/>
              </w:rPr>
            </w:pPr>
          </w:p>
        </w:tc>
      </w:tr>
      <w:tr w14:paraId="6E587AAE">
        <w:tblPrEx>
          <w:tblCellMar>
            <w:top w:w="0" w:type="dxa"/>
            <w:left w:w="108" w:type="dxa"/>
            <w:bottom w:w="0" w:type="dxa"/>
            <w:right w:w="108" w:type="dxa"/>
          </w:tblCellMar>
        </w:tblPrEx>
        <w:trPr>
          <w:trHeight w:val="233" w:hRule="atLeast"/>
        </w:trPr>
        <w:tc>
          <w:tcPr>
            <w:tcW w:w="2558" w:type="pct"/>
            <w:tcBorders>
              <w:top w:val="nil"/>
              <w:left w:val="nil"/>
              <w:bottom w:val="nil"/>
              <w:right w:val="nil"/>
            </w:tcBorders>
            <w:shd w:val="clear" w:color="auto" w:fill="auto"/>
            <w:noWrap/>
            <w:vAlign w:val="center"/>
          </w:tcPr>
          <w:p w14:paraId="2338629B">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Minimum daily temperature (in Celsius)</w:t>
            </w:r>
          </w:p>
        </w:tc>
        <w:tc>
          <w:tcPr>
            <w:tcW w:w="1051" w:type="pct"/>
            <w:tcBorders>
              <w:top w:val="nil"/>
              <w:left w:val="nil"/>
              <w:bottom w:val="nil"/>
              <w:right w:val="nil"/>
            </w:tcBorders>
            <w:shd w:val="clear" w:color="auto" w:fill="auto"/>
            <w:noWrap/>
            <w:vAlign w:val="center"/>
          </w:tcPr>
          <w:p w14:paraId="5B73791B">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12.6 </w:t>
            </w:r>
          </w:p>
        </w:tc>
        <w:tc>
          <w:tcPr>
            <w:tcW w:w="503" w:type="pct"/>
            <w:tcBorders>
              <w:top w:val="nil"/>
              <w:left w:val="nil"/>
              <w:bottom w:val="nil"/>
              <w:right w:val="nil"/>
            </w:tcBorders>
            <w:shd w:val="clear" w:color="auto" w:fill="auto"/>
            <w:noWrap/>
            <w:vAlign w:val="center"/>
          </w:tcPr>
          <w:p w14:paraId="0034DB6A">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10.8 </w:t>
            </w:r>
          </w:p>
        </w:tc>
        <w:tc>
          <w:tcPr>
            <w:tcW w:w="386" w:type="pct"/>
            <w:tcBorders>
              <w:top w:val="nil"/>
              <w:left w:val="nil"/>
              <w:bottom w:val="nil"/>
              <w:right w:val="nil"/>
            </w:tcBorders>
            <w:shd w:val="clear" w:color="auto" w:fill="auto"/>
            <w:noWrap/>
            <w:vAlign w:val="center"/>
          </w:tcPr>
          <w:p w14:paraId="12CD2F21">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-16.4 </w:t>
            </w:r>
          </w:p>
        </w:tc>
        <w:tc>
          <w:tcPr>
            <w:tcW w:w="502" w:type="pct"/>
            <w:tcBorders>
              <w:top w:val="nil"/>
              <w:left w:val="nil"/>
              <w:bottom w:val="nil"/>
              <w:right w:val="nil"/>
            </w:tcBorders>
            <w:shd w:val="clear" w:color="auto" w:fill="auto"/>
            <w:noWrap/>
            <w:vAlign w:val="center"/>
          </w:tcPr>
          <w:p w14:paraId="4A1F122A">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31.1 </w:t>
            </w:r>
          </w:p>
        </w:tc>
      </w:tr>
      <w:tr w14:paraId="50EC02FF">
        <w:tblPrEx>
          <w:tblCellMar>
            <w:top w:w="0" w:type="dxa"/>
            <w:left w:w="108" w:type="dxa"/>
            <w:bottom w:w="0" w:type="dxa"/>
            <w:right w:w="108" w:type="dxa"/>
          </w:tblCellMar>
        </w:tblPrEx>
        <w:trPr>
          <w:trHeight w:val="233" w:hRule="atLeast"/>
        </w:trPr>
        <w:tc>
          <w:tcPr>
            <w:tcW w:w="2558" w:type="pct"/>
            <w:tcBorders>
              <w:top w:val="nil"/>
              <w:left w:val="nil"/>
              <w:bottom w:val="nil"/>
              <w:right w:val="nil"/>
            </w:tcBorders>
            <w:shd w:val="clear" w:color="auto" w:fill="auto"/>
            <w:noWrap/>
            <w:vAlign w:val="center"/>
          </w:tcPr>
          <w:p w14:paraId="1A206E40">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Maximum daily temperature (in Celsius)</w:t>
            </w:r>
          </w:p>
        </w:tc>
        <w:tc>
          <w:tcPr>
            <w:tcW w:w="1051" w:type="pct"/>
            <w:tcBorders>
              <w:top w:val="nil"/>
              <w:left w:val="nil"/>
              <w:bottom w:val="nil"/>
              <w:right w:val="nil"/>
            </w:tcBorders>
            <w:shd w:val="clear" w:color="auto" w:fill="auto"/>
            <w:noWrap/>
            <w:vAlign w:val="center"/>
          </w:tcPr>
          <w:p w14:paraId="5E567117">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21.6 </w:t>
            </w:r>
          </w:p>
        </w:tc>
        <w:tc>
          <w:tcPr>
            <w:tcW w:w="503" w:type="pct"/>
            <w:tcBorders>
              <w:top w:val="nil"/>
              <w:left w:val="nil"/>
              <w:bottom w:val="nil"/>
              <w:right w:val="nil"/>
            </w:tcBorders>
            <w:shd w:val="clear" w:color="auto" w:fill="auto"/>
            <w:noWrap/>
            <w:vAlign w:val="center"/>
          </w:tcPr>
          <w:p w14:paraId="16F5A821">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10.5 </w:t>
            </w:r>
          </w:p>
        </w:tc>
        <w:tc>
          <w:tcPr>
            <w:tcW w:w="386" w:type="pct"/>
            <w:tcBorders>
              <w:top w:val="nil"/>
              <w:left w:val="nil"/>
              <w:bottom w:val="nil"/>
              <w:right w:val="nil"/>
            </w:tcBorders>
            <w:shd w:val="clear" w:color="auto" w:fill="auto"/>
            <w:noWrap/>
            <w:vAlign w:val="center"/>
          </w:tcPr>
          <w:p w14:paraId="2F750D77">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-10.9 </w:t>
            </w:r>
          </w:p>
        </w:tc>
        <w:tc>
          <w:tcPr>
            <w:tcW w:w="502" w:type="pct"/>
            <w:tcBorders>
              <w:top w:val="nil"/>
              <w:left w:val="nil"/>
              <w:bottom w:val="nil"/>
              <w:right w:val="nil"/>
            </w:tcBorders>
            <w:shd w:val="clear" w:color="auto" w:fill="auto"/>
            <w:noWrap/>
            <w:vAlign w:val="center"/>
          </w:tcPr>
          <w:p w14:paraId="0749BAC8">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40.9 </w:t>
            </w:r>
          </w:p>
        </w:tc>
      </w:tr>
      <w:tr w14:paraId="7E816DD6">
        <w:tblPrEx>
          <w:tblCellMar>
            <w:top w:w="0" w:type="dxa"/>
            <w:left w:w="108" w:type="dxa"/>
            <w:bottom w:w="0" w:type="dxa"/>
            <w:right w:w="108" w:type="dxa"/>
          </w:tblCellMar>
        </w:tblPrEx>
        <w:trPr>
          <w:trHeight w:val="233" w:hRule="atLeast"/>
        </w:trPr>
        <w:tc>
          <w:tcPr>
            <w:tcW w:w="2558" w:type="pct"/>
            <w:tcBorders>
              <w:top w:val="nil"/>
              <w:left w:val="nil"/>
              <w:bottom w:val="nil"/>
              <w:right w:val="nil"/>
            </w:tcBorders>
            <w:shd w:val="clear" w:color="auto" w:fill="auto"/>
          </w:tcPr>
          <w:p w14:paraId="2079BA26">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Wind speed (in meters per second)</w:t>
            </w:r>
          </w:p>
        </w:tc>
        <w:tc>
          <w:tcPr>
            <w:tcW w:w="1051" w:type="pct"/>
            <w:tcBorders>
              <w:top w:val="nil"/>
              <w:left w:val="nil"/>
              <w:bottom w:val="nil"/>
              <w:right w:val="nil"/>
            </w:tcBorders>
            <w:shd w:val="clear" w:color="auto" w:fill="auto"/>
            <w:noWrap/>
            <w:vAlign w:val="center"/>
          </w:tcPr>
          <w:p w14:paraId="1538E05C">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1.7 </w:t>
            </w:r>
          </w:p>
        </w:tc>
        <w:tc>
          <w:tcPr>
            <w:tcW w:w="503" w:type="pct"/>
            <w:tcBorders>
              <w:top w:val="nil"/>
              <w:left w:val="nil"/>
              <w:bottom w:val="nil"/>
              <w:right w:val="nil"/>
            </w:tcBorders>
            <w:shd w:val="clear" w:color="auto" w:fill="auto"/>
            <w:noWrap/>
            <w:vAlign w:val="center"/>
          </w:tcPr>
          <w:p w14:paraId="12D5264B">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1.0 </w:t>
            </w:r>
          </w:p>
        </w:tc>
        <w:tc>
          <w:tcPr>
            <w:tcW w:w="386" w:type="pct"/>
            <w:tcBorders>
              <w:top w:val="nil"/>
              <w:left w:val="nil"/>
              <w:bottom w:val="nil"/>
              <w:right w:val="nil"/>
            </w:tcBorders>
            <w:shd w:val="clear" w:color="auto" w:fill="auto"/>
            <w:noWrap/>
            <w:vAlign w:val="center"/>
          </w:tcPr>
          <w:p w14:paraId="6699A7F0">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0.0 </w:t>
            </w:r>
          </w:p>
        </w:tc>
        <w:tc>
          <w:tcPr>
            <w:tcW w:w="502" w:type="pct"/>
            <w:tcBorders>
              <w:top w:val="nil"/>
              <w:left w:val="nil"/>
              <w:bottom w:val="nil"/>
              <w:right w:val="nil"/>
            </w:tcBorders>
            <w:shd w:val="clear" w:color="auto" w:fill="auto"/>
            <w:noWrap/>
            <w:vAlign w:val="center"/>
          </w:tcPr>
          <w:p w14:paraId="1DF898FE">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11.2 </w:t>
            </w:r>
          </w:p>
        </w:tc>
      </w:tr>
      <w:tr w14:paraId="7EE204C9">
        <w:tblPrEx>
          <w:tblCellMar>
            <w:top w:w="0" w:type="dxa"/>
            <w:left w:w="108" w:type="dxa"/>
            <w:bottom w:w="0" w:type="dxa"/>
            <w:right w:w="108" w:type="dxa"/>
          </w:tblCellMar>
        </w:tblPrEx>
        <w:trPr>
          <w:trHeight w:val="233" w:hRule="atLeast"/>
        </w:trPr>
        <w:tc>
          <w:tcPr>
            <w:tcW w:w="2558" w:type="pct"/>
            <w:tcBorders>
              <w:top w:val="nil"/>
              <w:left w:val="nil"/>
              <w:bottom w:val="nil"/>
              <w:right w:val="nil"/>
            </w:tcBorders>
            <w:shd w:val="clear" w:color="auto" w:fill="auto"/>
          </w:tcPr>
          <w:p w14:paraId="25AC9115">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Precipitation (in millimeters)</w:t>
            </w:r>
          </w:p>
        </w:tc>
        <w:tc>
          <w:tcPr>
            <w:tcW w:w="1051" w:type="pct"/>
            <w:tcBorders>
              <w:top w:val="nil"/>
              <w:left w:val="nil"/>
              <w:bottom w:val="nil"/>
              <w:right w:val="nil"/>
            </w:tcBorders>
            <w:shd w:val="clear" w:color="auto" w:fill="auto"/>
            <w:noWrap/>
            <w:vAlign w:val="center"/>
          </w:tcPr>
          <w:p w14:paraId="4B0D1BEB">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2.7 </w:t>
            </w:r>
          </w:p>
        </w:tc>
        <w:tc>
          <w:tcPr>
            <w:tcW w:w="503" w:type="pct"/>
            <w:tcBorders>
              <w:top w:val="nil"/>
              <w:left w:val="nil"/>
              <w:bottom w:val="nil"/>
              <w:right w:val="nil"/>
            </w:tcBorders>
            <w:shd w:val="clear" w:color="auto" w:fill="auto"/>
            <w:noWrap/>
            <w:vAlign w:val="center"/>
          </w:tcPr>
          <w:p w14:paraId="52EC1D8A">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10.3 </w:t>
            </w:r>
          </w:p>
        </w:tc>
        <w:tc>
          <w:tcPr>
            <w:tcW w:w="386" w:type="pct"/>
            <w:tcBorders>
              <w:top w:val="nil"/>
              <w:left w:val="nil"/>
              <w:bottom w:val="nil"/>
              <w:right w:val="nil"/>
            </w:tcBorders>
            <w:shd w:val="clear" w:color="auto" w:fill="auto"/>
            <w:noWrap/>
            <w:vAlign w:val="center"/>
          </w:tcPr>
          <w:p w14:paraId="4747B442">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0.0 </w:t>
            </w:r>
          </w:p>
        </w:tc>
        <w:tc>
          <w:tcPr>
            <w:tcW w:w="502" w:type="pct"/>
            <w:tcBorders>
              <w:top w:val="nil"/>
              <w:left w:val="nil"/>
              <w:bottom w:val="nil"/>
              <w:right w:val="nil"/>
            </w:tcBorders>
            <w:shd w:val="clear" w:color="auto" w:fill="auto"/>
            <w:noWrap/>
            <w:vAlign w:val="center"/>
          </w:tcPr>
          <w:p w14:paraId="30C99955">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253.5 </w:t>
            </w:r>
          </w:p>
        </w:tc>
      </w:tr>
      <w:tr w14:paraId="52647B78">
        <w:tblPrEx>
          <w:tblCellMar>
            <w:top w:w="0" w:type="dxa"/>
            <w:left w:w="108" w:type="dxa"/>
            <w:bottom w:w="0" w:type="dxa"/>
            <w:right w:w="108" w:type="dxa"/>
          </w:tblCellMar>
        </w:tblPrEx>
        <w:trPr>
          <w:trHeight w:val="233" w:hRule="atLeast"/>
        </w:trPr>
        <w:tc>
          <w:tcPr>
            <w:tcW w:w="2558" w:type="pct"/>
            <w:tcBorders>
              <w:top w:val="nil"/>
              <w:left w:val="nil"/>
              <w:bottom w:val="nil"/>
              <w:right w:val="nil"/>
            </w:tcBorders>
            <w:shd w:val="clear" w:color="auto" w:fill="auto"/>
            <w:noWrap/>
            <w:vAlign w:val="center"/>
          </w:tcPr>
          <w:p w14:paraId="7F14647B">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Heat wave</w:t>
            </w:r>
          </w:p>
        </w:tc>
        <w:tc>
          <w:tcPr>
            <w:tcW w:w="1051" w:type="pct"/>
            <w:tcBorders>
              <w:top w:val="nil"/>
              <w:left w:val="nil"/>
              <w:bottom w:val="nil"/>
              <w:right w:val="nil"/>
            </w:tcBorders>
            <w:shd w:val="clear" w:color="auto" w:fill="auto"/>
            <w:noWrap/>
            <w:vAlign w:val="center"/>
          </w:tcPr>
          <w:p w14:paraId="5AEF84C1">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6.8%</w:t>
            </w:r>
          </w:p>
        </w:tc>
        <w:tc>
          <w:tcPr>
            <w:tcW w:w="503" w:type="pct"/>
            <w:tcBorders>
              <w:top w:val="nil"/>
              <w:left w:val="nil"/>
              <w:bottom w:val="nil"/>
              <w:right w:val="nil"/>
            </w:tcBorders>
            <w:shd w:val="clear" w:color="auto" w:fill="auto"/>
            <w:noWrap/>
            <w:vAlign w:val="center"/>
          </w:tcPr>
          <w:p w14:paraId="719B873E">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w:t>
            </w:r>
          </w:p>
        </w:tc>
        <w:tc>
          <w:tcPr>
            <w:tcW w:w="386" w:type="pct"/>
            <w:tcBorders>
              <w:top w:val="nil"/>
              <w:left w:val="nil"/>
              <w:bottom w:val="nil"/>
              <w:right w:val="nil"/>
            </w:tcBorders>
            <w:shd w:val="clear" w:color="auto" w:fill="auto"/>
            <w:noWrap/>
            <w:vAlign w:val="center"/>
          </w:tcPr>
          <w:p w14:paraId="49800D3D">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w:t>
            </w:r>
          </w:p>
        </w:tc>
        <w:tc>
          <w:tcPr>
            <w:tcW w:w="502" w:type="pct"/>
            <w:tcBorders>
              <w:top w:val="nil"/>
              <w:left w:val="nil"/>
              <w:bottom w:val="nil"/>
              <w:right w:val="nil"/>
            </w:tcBorders>
            <w:shd w:val="clear" w:color="auto" w:fill="auto"/>
            <w:noWrap/>
            <w:vAlign w:val="center"/>
          </w:tcPr>
          <w:p w14:paraId="4B30D3F8">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w:t>
            </w:r>
          </w:p>
        </w:tc>
      </w:tr>
      <w:tr w14:paraId="754698FD">
        <w:tblPrEx>
          <w:tblCellMar>
            <w:top w:w="0" w:type="dxa"/>
            <w:left w:w="108" w:type="dxa"/>
            <w:bottom w:w="0" w:type="dxa"/>
            <w:right w:w="108" w:type="dxa"/>
          </w:tblCellMar>
        </w:tblPrEx>
        <w:trPr>
          <w:trHeight w:val="233" w:hRule="atLeast"/>
        </w:trPr>
        <w:tc>
          <w:tcPr>
            <w:tcW w:w="2558" w:type="pct"/>
            <w:tcBorders>
              <w:top w:val="nil"/>
              <w:left w:val="nil"/>
              <w:bottom w:val="nil"/>
              <w:right w:val="nil"/>
            </w:tcBorders>
            <w:shd w:val="clear" w:color="auto" w:fill="auto"/>
            <w:noWrap/>
            <w:vAlign w:val="center"/>
          </w:tcPr>
          <w:p w14:paraId="2E4FBEE9">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30-day cumulative days in heat waves</w:t>
            </w:r>
          </w:p>
        </w:tc>
        <w:tc>
          <w:tcPr>
            <w:tcW w:w="1051" w:type="pct"/>
            <w:tcBorders>
              <w:top w:val="nil"/>
              <w:left w:val="nil"/>
              <w:bottom w:val="nil"/>
              <w:right w:val="nil"/>
            </w:tcBorders>
            <w:shd w:val="clear" w:color="auto" w:fill="auto"/>
            <w:noWrap/>
            <w:vAlign w:val="center"/>
          </w:tcPr>
          <w:p w14:paraId="57D9638D">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2.1 </w:t>
            </w:r>
          </w:p>
        </w:tc>
        <w:tc>
          <w:tcPr>
            <w:tcW w:w="503" w:type="pct"/>
            <w:tcBorders>
              <w:top w:val="nil"/>
              <w:left w:val="nil"/>
              <w:bottom w:val="nil"/>
              <w:right w:val="nil"/>
            </w:tcBorders>
            <w:shd w:val="clear" w:color="auto" w:fill="auto"/>
            <w:noWrap/>
            <w:vAlign w:val="center"/>
          </w:tcPr>
          <w:p w14:paraId="0E547179">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4.1 </w:t>
            </w:r>
          </w:p>
        </w:tc>
        <w:tc>
          <w:tcPr>
            <w:tcW w:w="386" w:type="pct"/>
            <w:tcBorders>
              <w:top w:val="nil"/>
              <w:left w:val="nil"/>
              <w:bottom w:val="nil"/>
              <w:right w:val="nil"/>
            </w:tcBorders>
            <w:shd w:val="clear" w:color="auto" w:fill="auto"/>
            <w:noWrap/>
            <w:vAlign w:val="center"/>
          </w:tcPr>
          <w:p w14:paraId="53DAED89">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0.0 </w:t>
            </w:r>
          </w:p>
        </w:tc>
        <w:tc>
          <w:tcPr>
            <w:tcW w:w="502" w:type="pct"/>
            <w:tcBorders>
              <w:top w:val="nil"/>
              <w:left w:val="nil"/>
              <w:bottom w:val="nil"/>
              <w:right w:val="nil"/>
            </w:tcBorders>
            <w:shd w:val="clear" w:color="auto" w:fill="auto"/>
            <w:noWrap/>
            <w:vAlign w:val="center"/>
          </w:tcPr>
          <w:p w14:paraId="00C5F0AA">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28.0 </w:t>
            </w:r>
          </w:p>
        </w:tc>
      </w:tr>
      <w:tr w14:paraId="229C955B">
        <w:tblPrEx>
          <w:tblCellMar>
            <w:top w:w="0" w:type="dxa"/>
            <w:left w:w="108" w:type="dxa"/>
            <w:bottom w:w="0" w:type="dxa"/>
            <w:right w:w="108" w:type="dxa"/>
          </w:tblCellMar>
        </w:tblPrEx>
        <w:trPr>
          <w:trHeight w:val="233" w:hRule="atLeast"/>
        </w:trPr>
        <w:tc>
          <w:tcPr>
            <w:tcW w:w="2558" w:type="pct"/>
            <w:tcBorders>
              <w:top w:val="nil"/>
              <w:left w:val="nil"/>
              <w:bottom w:val="nil"/>
              <w:right w:val="nil"/>
            </w:tcBorders>
            <w:shd w:val="clear" w:color="auto" w:fill="auto"/>
          </w:tcPr>
          <w:p w14:paraId="14450C09">
            <w:pPr>
              <w:widowControl/>
              <w:jc w:val="left"/>
              <w:rPr>
                <w:rFonts w:ascii="Garamond" w:hAnsi="Garamond" w:eastAsia="等线" w:cs="Times New Roman"/>
                <w:color w:val="000000"/>
                <w:kern w:val="0"/>
                <w:sz w:val="24"/>
                <w:szCs w:val="24"/>
              </w:rPr>
            </w:pPr>
          </w:p>
        </w:tc>
        <w:tc>
          <w:tcPr>
            <w:tcW w:w="1051" w:type="pct"/>
            <w:tcBorders>
              <w:top w:val="nil"/>
              <w:left w:val="nil"/>
              <w:bottom w:val="nil"/>
              <w:right w:val="nil"/>
            </w:tcBorders>
            <w:shd w:val="clear" w:color="auto" w:fill="auto"/>
            <w:noWrap/>
            <w:vAlign w:val="center"/>
          </w:tcPr>
          <w:p w14:paraId="2656DA60">
            <w:pPr>
              <w:widowControl/>
              <w:jc w:val="left"/>
              <w:rPr>
                <w:rFonts w:ascii="Garamond" w:hAnsi="Garamond" w:eastAsia="Times New Roman" w:cs="Times New Roman"/>
                <w:kern w:val="0"/>
                <w:sz w:val="24"/>
                <w:szCs w:val="24"/>
              </w:rPr>
            </w:pPr>
          </w:p>
        </w:tc>
        <w:tc>
          <w:tcPr>
            <w:tcW w:w="503" w:type="pct"/>
            <w:tcBorders>
              <w:top w:val="nil"/>
              <w:left w:val="nil"/>
              <w:bottom w:val="nil"/>
              <w:right w:val="nil"/>
            </w:tcBorders>
            <w:shd w:val="clear" w:color="auto" w:fill="auto"/>
            <w:noWrap/>
            <w:vAlign w:val="center"/>
          </w:tcPr>
          <w:p w14:paraId="09B88789">
            <w:pPr>
              <w:widowControl/>
              <w:jc w:val="left"/>
              <w:rPr>
                <w:rFonts w:ascii="Garamond" w:hAnsi="Garamond" w:eastAsia="Times New Roman" w:cs="Times New Roman"/>
                <w:kern w:val="0"/>
                <w:sz w:val="24"/>
                <w:szCs w:val="24"/>
              </w:rPr>
            </w:pPr>
          </w:p>
        </w:tc>
        <w:tc>
          <w:tcPr>
            <w:tcW w:w="386" w:type="pct"/>
            <w:tcBorders>
              <w:top w:val="nil"/>
              <w:left w:val="nil"/>
              <w:bottom w:val="nil"/>
              <w:right w:val="nil"/>
            </w:tcBorders>
            <w:shd w:val="clear" w:color="auto" w:fill="auto"/>
            <w:noWrap/>
            <w:vAlign w:val="center"/>
          </w:tcPr>
          <w:p w14:paraId="3E0F0342">
            <w:pPr>
              <w:widowControl/>
              <w:jc w:val="left"/>
              <w:rPr>
                <w:rFonts w:ascii="Garamond" w:hAnsi="Garamond" w:eastAsia="Times New Roman" w:cs="Times New Roman"/>
                <w:kern w:val="0"/>
                <w:sz w:val="24"/>
                <w:szCs w:val="24"/>
              </w:rPr>
            </w:pPr>
          </w:p>
        </w:tc>
        <w:tc>
          <w:tcPr>
            <w:tcW w:w="502" w:type="pct"/>
            <w:tcBorders>
              <w:top w:val="nil"/>
              <w:left w:val="nil"/>
              <w:bottom w:val="nil"/>
              <w:right w:val="nil"/>
            </w:tcBorders>
            <w:shd w:val="clear" w:color="auto" w:fill="auto"/>
            <w:noWrap/>
            <w:vAlign w:val="center"/>
          </w:tcPr>
          <w:p w14:paraId="741B2C04">
            <w:pPr>
              <w:widowControl/>
              <w:jc w:val="left"/>
              <w:rPr>
                <w:rFonts w:ascii="Garamond" w:hAnsi="Garamond" w:eastAsia="Times New Roman" w:cs="Times New Roman"/>
                <w:kern w:val="0"/>
                <w:sz w:val="24"/>
                <w:szCs w:val="24"/>
              </w:rPr>
            </w:pPr>
          </w:p>
        </w:tc>
      </w:tr>
      <w:tr w14:paraId="78B599DC">
        <w:tblPrEx>
          <w:tblCellMar>
            <w:top w:w="0" w:type="dxa"/>
            <w:left w:w="108" w:type="dxa"/>
            <w:bottom w:w="0" w:type="dxa"/>
            <w:right w:w="108" w:type="dxa"/>
          </w:tblCellMar>
        </w:tblPrEx>
        <w:trPr>
          <w:trHeight w:val="233" w:hRule="atLeast"/>
        </w:trPr>
        <w:tc>
          <w:tcPr>
            <w:tcW w:w="2558" w:type="pct"/>
            <w:tcBorders>
              <w:top w:val="nil"/>
              <w:left w:val="nil"/>
              <w:bottom w:val="single" w:color="auto" w:sz="4" w:space="0"/>
              <w:right w:val="nil"/>
            </w:tcBorders>
            <w:shd w:val="clear" w:color="auto" w:fill="auto"/>
            <w:noWrap/>
            <w:vAlign w:val="center"/>
          </w:tcPr>
          <w:p w14:paraId="44E822FD">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Number of observations</w:t>
            </w:r>
          </w:p>
        </w:tc>
        <w:tc>
          <w:tcPr>
            <w:tcW w:w="1051" w:type="pct"/>
            <w:tcBorders>
              <w:top w:val="nil"/>
              <w:left w:val="nil"/>
              <w:bottom w:val="single" w:color="auto" w:sz="4" w:space="0"/>
              <w:right w:val="nil"/>
            </w:tcBorders>
            <w:shd w:val="clear" w:color="auto" w:fill="auto"/>
            <w:noWrap/>
            <w:vAlign w:val="center"/>
          </w:tcPr>
          <w:p w14:paraId="486CAC69">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xml:space="preserve">15,420,075 </w:t>
            </w:r>
          </w:p>
        </w:tc>
        <w:tc>
          <w:tcPr>
            <w:tcW w:w="503" w:type="pct"/>
            <w:tcBorders>
              <w:top w:val="nil"/>
              <w:left w:val="nil"/>
              <w:bottom w:val="single" w:color="auto" w:sz="4" w:space="0"/>
              <w:right w:val="nil"/>
            </w:tcBorders>
            <w:shd w:val="clear" w:color="auto" w:fill="auto"/>
            <w:noWrap/>
            <w:vAlign w:val="center"/>
          </w:tcPr>
          <w:p w14:paraId="6747138A">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w:t>
            </w:r>
          </w:p>
        </w:tc>
        <w:tc>
          <w:tcPr>
            <w:tcW w:w="386" w:type="pct"/>
            <w:tcBorders>
              <w:top w:val="nil"/>
              <w:left w:val="nil"/>
              <w:bottom w:val="single" w:color="auto" w:sz="4" w:space="0"/>
              <w:right w:val="nil"/>
            </w:tcBorders>
            <w:shd w:val="clear" w:color="auto" w:fill="auto"/>
            <w:noWrap/>
            <w:vAlign w:val="center"/>
          </w:tcPr>
          <w:p w14:paraId="330193FE">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w:t>
            </w:r>
          </w:p>
        </w:tc>
        <w:tc>
          <w:tcPr>
            <w:tcW w:w="502" w:type="pct"/>
            <w:tcBorders>
              <w:top w:val="nil"/>
              <w:left w:val="nil"/>
              <w:bottom w:val="single" w:color="auto" w:sz="4" w:space="0"/>
              <w:right w:val="nil"/>
            </w:tcBorders>
            <w:shd w:val="clear" w:color="auto" w:fill="auto"/>
            <w:noWrap/>
            <w:vAlign w:val="center"/>
          </w:tcPr>
          <w:p w14:paraId="30D2E9B3">
            <w:pPr>
              <w:widowControl/>
              <w:jc w:val="left"/>
              <w:rPr>
                <w:rFonts w:ascii="Garamond" w:hAnsi="Garamond" w:eastAsia="等线" w:cs="Times New Roman"/>
                <w:color w:val="000000"/>
                <w:kern w:val="0"/>
                <w:sz w:val="24"/>
                <w:szCs w:val="24"/>
              </w:rPr>
            </w:pPr>
            <w:r>
              <w:rPr>
                <w:rFonts w:ascii="Garamond" w:hAnsi="Garamond" w:eastAsia="等线" w:cs="Times New Roman"/>
                <w:color w:val="000000"/>
                <w:kern w:val="0"/>
                <w:sz w:val="24"/>
                <w:szCs w:val="24"/>
              </w:rPr>
              <w:t>　</w:t>
            </w:r>
          </w:p>
        </w:tc>
      </w:tr>
    </w:tbl>
    <w:p w14:paraId="0C6ACAF6">
      <w:pPr>
        <w:spacing w:line="480" w:lineRule="auto"/>
        <w:jc w:val="left"/>
        <w:rPr>
          <w:rFonts w:ascii="Garamond" w:hAnsi="Garamond" w:cs="Times New Roman"/>
          <w:b/>
          <w:bCs/>
          <w:sz w:val="24"/>
          <w:szCs w:val="24"/>
        </w:rPr>
      </w:pPr>
    </w:p>
    <w:p w14:paraId="69E13DAF">
      <w:pPr>
        <w:spacing w:line="480" w:lineRule="auto"/>
        <w:jc w:val="left"/>
        <w:rPr>
          <w:rFonts w:ascii="Garamond" w:hAnsi="Garamond" w:cs="Times New Roman"/>
          <w:b/>
          <w:bCs/>
          <w:sz w:val="24"/>
          <w:szCs w:val="24"/>
        </w:rPr>
      </w:pPr>
    </w:p>
    <w:p w14:paraId="098CA6AA">
      <w:pPr>
        <w:spacing w:line="480" w:lineRule="auto"/>
        <w:jc w:val="center"/>
        <w:rPr>
          <w:rFonts w:ascii="Garamond" w:hAnsi="Garamond" w:cs="Times New Roman"/>
          <w:b/>
          <w:bCs/>
          <w:sz w:val="24"/>
          <w:szCs w:val="24"/>
        </w:rPr>
      </w:pPr>
      <w:r>
        <w:rPr>
          <w:rFonts w:ascii="Garamond" w:hAnsi="Garamond" w:cs="Times New Roman"/>
          <w:b/>
          <w:bCs/>
          <w:sz w:val="24"/>
          <w:szCs w:val="24"/>
        </w:rPr>
        <w:t>Figure 1. 2016-2020 average climate conditions of the studied area</w:t>
      </w:r>
    </w:p>
    <w:p w14:paraId="1A44D179">
      <w:pPr>
        <w:spacing w:line="480" w:lineRule="auto"/>
        <w:ind w:firstLine="1081" w:firstLineChars="450"/>
        <w:jc w:val="left"/>
        <w:rPr>
          <w:rFonts w:ascii="Garamond" w:hAnsi="Garamond" w:cs="Times New Roman"/>
          <w:b/>
          <w:bCs/>
          <w:sz w:val="24"/>
          <w:szCs w:val="24"/>
        </w:rPr>
      </w:pPr>
      <w:r>
        <w:rPr>
          <w:rFonts w:ascii="Garamond" w:hAnsi="Garamond" w:cs="Times New Roman"/>
          <w:b/>
          <w:bCs/>
          <w:sz w:val="24"/>
          <w:szCs w:val="24"/>
        </w:rPr>
        <w:t>a.</w:t>
      </w:r>
    </w:p>
    <w:p w14:paraId="32F84D6E">
      <w:pPr>
        <w:spacing w:line="480" w:lineRule="auto"/>
        <w:jc w:val="center"/>
        <w:rPr>
          <w:rFonts w:ascii="Garamond" w:hAnsi="Garamond" w:cs="Times New Roman"/>
          <w:sz w:val="24"/>
          <w:szCs w:val="24"/>
        </w:rPr>
      </w:pPr>
      <w:r>
        <w:rPr>
          <w:rFonts w:ascii="Garamond" w:hAnsi="Garamond" w:cs="Times New Roman"/>
          <w:sz w:val="24"/>
          <w:szCs w:val="24"/>
        </w:rPr>
        <w:drawing>
          <wp:inline distT="0" distB="0" distL="0" distR="0">
            <wp:extent cx="5274310" cy="175704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1757045"/>
                    </a:xfrm>
                    <a:prstGeom prst="rect">
                      <a:avLst/>
                    </a:prstGeom>
                  </pic:spPr>
                </pic:pic>
              </a:graphicData>
            </a:graphic>
          </wp:inline>
        </w:drawing>
      </w:r>
    </w:p>
    <w:p w14:paraId="33721E5C">
      <w:pPr>
        <w:spacing w:line="480" w:lineRule="auto"/>
        <w:ind w:firstLine="1081" w:firstLineChars="450"/>
        <w:rPr>
          <w:rFonts w:ascii="Garamond" w:hAnsi="Garamond" w:cs="Times New Roman"/>
          <w:b/>
          <w:bCs/>
          <w:sz w:val="24"/>
          <w:szCs w:val="24"/>
        </w:rPr>
      </w:pPr>
    </w:p>
    <w:p w14:paraId="49EFCC01">
      <w:pPr>
        <w:spacing w:line="480" w:lineRule="auto"/>
        <w:ind w:firstLine="1081" w:firstLineChars="450"/>
        <w:rPr>
          <w:rFonts w:ascii="Garamond" w:hAnsi="Garamond" w:cs="Times New Roman"/>
          <w:b/>
          <w:bCs/>
          <w:sz w:val="24"/>
          <w:szCs w:val="24"/>
        </w:rPr>
      </w:pPr>
    </w:p>
    <w:p w14:paraId="69E34D51">
      <w:pPr>
        <w:spacing w:line="480" w:lineRule="auto"/>
        <w:ind w:firstLine="1081" w:firstLineChars="450"/>
        <w:rPr>
          <w:rFonts w:ascii="Garamond" w:hAnsi="Garamond" w:cs="Times New Roman"/>
          <w:b/>
          <w:bCs/>
          <w:sz w:val="24"/>
          <w:szCs w:val="24"/>
        </w:rPr>
      </w:pPr>
    </w:p>
    <w:p w14:paraId="617CD7A3">
      <w:pPr>
        <w:spacing w:line="480" w:lineRule="auto"/>
        <w:ind w:firstLine="1081" w:firstLineChars="450"/>
        <w:rPr>
          <w:rFonts w:ascii="Garamond" w:hAnsi="Garamond" w:cs="Times New Roman"/>
          <w:b/>
          <w:bCs/>
          <w:sz w:val="24"/>
          <w:szCs w:val="24"/>
        </w:rPr>
      </w:pPr>
    </w:p>
    <w:p w14:paraId="76EACB5B">
      <w:pPr>
        <w:spacing w:line="480" w:lineRule="auto"/>
        <w:ind w:firstLine="1081" w:firstLineChars="450"/>
        <w:rPr>
          <w:rFonts w:ascii="Garamond" w:hAnsi="Garamond" w:cs="Times New Roman"/>
          <w:b/>
          <w:bCs/>
          <w:sz w:val="24"/>
          <w:szCs w:val="24"/>
        </w:rPr>
      </w:pPr>
      <w:r>
        <w:rPr>
          <w:rFonts w:ascii="Garamond" w:hAnsi="Garamond" w:cs="Times New Roman"/>
          <w:b/>
          <w:bCs/>
          <w:sz w:val="24"/>
          <w:szCs w:val="24"/>
        </w:rPr>
        <w:t>b.</w:t>
      </w:r>
    </w:p>
    <w:p w14:paraId="02CC8745">
      <w:pPr>
        <w:spacing w:line="480" w:lineRule="auto"/>
        <w:jc w:val="center"/>
        <w:rPr>
          <w:rFonts w:ascii="Garamond" w:hAnsi="Garamond" w:cs="Times New Roman"/>
          <w:sz w:val="24"/>
          <w:szCs w:val="24"/>
        </w:rPr>
      </w:pPr>
      <w:r>
        <w:rPr>
          <w:rFonts w:ascii="Garamond" w:hAnsi="Garamond" w:cs="Times New Roman"/>
          <w:sz w:val="24"/>
          <w:szCs w:val="24"/>
        </w:rPr>
        <w:drawing>
          <wp:inline distT="0" distB="0" distL="0" distR="0">
            <wp:extent cx="5274310" cy="1757045"/>
            <wp:effectExtent l="0" t="0" r="2540" b="0"/>
            <wp:docPr id="10" name="图片 10" descr="亮着灯的建筑&#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亮着灯的建筑&#10;&#10;中度可信度描述已自动生成"/>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1757045"/>
                    </a:xfrm>
                    <a:prstGeom prst="rect">
                      <a:avLst/>
                    </a:prstGeom>
                  </pic:spPr>
                </pic:pic>
              </a:graphicData>
            </a:graphic>
          </wp:inline>
        </w:drawing>
      </w:r>
    </w:p>
    <w:p w14:paraId="5979898E">
      <w:pPr>
        <w:spacing w:line="480" w:lineRule="auto"/>
        <w:ind w:firstLine="1081" w:firstLineChars="450"/>
        <w:jc w:val="left"/>
        <w:rPr>
          <w:rFonts w:ascii="Garamond" w:hAnsi="Garamond" w:cs="Times New Roman"/>
          <w:b/>
          <w:bCs/>
          <w:sz w:val="24"/>
          <w:szCs w:val="24"/>
        </w:rPr>
      </w:pPr>
      <w:r>
        <w:rPr>
          <w:rFonts w:ascii="Garamond" w:hAnsi="Garamond" w:cs="Times New Roman"/>
          <w:b/>
          <w:bCs/>
          <w:sz w:val="24"/>
          <w:szCs w:val="24"/>
        </w:rPr>
        <w:t>c.</w:t>
      </w:r>
    </w:p>
    <w:p w14:paraId="5E16DDB7">
      <w:pPr>
        <w:spacing w:line="480" w:lineRule="auto"/>
        <w:jc w:val="center"/>
        <w:rPr>
          <w:rFonts w:ascii="Garamond" w:hAnsi="Garamond" w:cs="Times New Roman"/>
          <w:sz w:val="24"/>
          <w:szCs w:val="24"/>
        </w:rPr>
      </w:pPr>
      <w:r>
        <w:rPr>
          <w:rFonts w:ascii="Garamond" w:hAnsi="Garamond" w:cs="Times New Roman"/>
          <w:sz w:val="24"/>
          <w:szCs w:val="24"/>
        </w:rPr>
        <w:drawing>
          <wp:inline distT="0" distB="0" distL="0" distR="0">
            <wp:extent cx="5274310" cy="1757045"/>
            <wp:effectExtent l="0" t="0" r="2540" b="0"/>
            <wp:docPr id="12" name="图片 12"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表&#10;&#10;描述已自动生成"/>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757045"/>
                    </a:xfrm>
                    <a:prstGeom prst="rect">
                      <a:avLst/>
                    </a:prstGeom>
                  </pic:spPr>
                </pic:pic>
              </a:graphicData>
            </a:graphic>
          </wp:inline>
        </w:drawing>
      </w:r>
    </w:p>
    <w:p w14:paraId="7D051FB2">
      <w:pPr>
        <w:spacing w:line="480" w:lineRule="auto"/>
        <w:ind w:firstLine="1081" w:firstLineChars="450"/>
        <w:rPr>
          <w:rFonts w:ascii="Garamond" w:hAnsi="Garamond" w:cs="Times New Roman"/>
          <w:b/>
          <w:bCs/>
          <w:sz w:val="24"/>
          <w:szCs w:val="24"/>
        </w:rPr>
      </w:pPr>
      <w:r>
        <w:rPr>
          <w:rFonts w:ascii="Garamond" w:hAnsi="Garamond" w:cs="Times New Roman"/>
          <w:b/>
          <w:bCs/>
          <w:sz w:val="24"/>
          <w:szCs w:val="24"/>
        </w:rPr>
        <w:t>d.</w:t>
      </w:r>
    </w:p>
    <w:p w14:paraId="4FDC2149">
      <w:pPr>
        <w:spacing w:line="480" w:lineRule="auto"/>
        <w:jc w:val="center"/>
        <w:rPr>
          <w:rFonts w:ascii="Garamond" w:hAnsi="Garamond" w:cs="Times New Roman"/>
          <w:sz w:val="24"/>
          <w:szCs w:val="24"/>
        </w:rPr>
      </w:pPr>
      <w:r>
        <w:rPr>
          <w:rFonts w:ascii="Garamond" w:hAnsi="Garamond" w:cs="Times New Roman"/>
          <w:sz w:val="24"/>
          <w:szCs w:val="24"/>
        </w:rPr>
        <w:drawing>
          <wp:inline distT="0" distB="0" distL="0" distR="0">
            <wp:extent cx="5274310" cy="1757045"/>
            <wp:effectExtent l="0" t="0" r="2540" b="0"/>
            <wp:docPr id="13" name="图片 13" descr="黑暗里有灯光&#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黑暗里有灯光&#10;&#10;低可信度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757045"/>
                    </a:xfrm>
                    <a:prstGeom prst="rect">
                      <a:avLst/>
                    </a:prstGeom>
                  </pic:spPr>
                </pic:pic>
              </a:graphicData>
            </a:graphic>
          </wp:inline>
        </w:drawing>
      </w:r>
    </w:p>
    <w:p w14:paraId="5E48686B">
      <w:pPr>
        <w:spacing w:line="480" w:lineRule="auto"/>
        <w:ind w:firstLine="1081" w:firstLineChars="450"/>
        <w:rPr>
          <w:rFonts w:ascii="Garamond" w:hAnsi="Garamond" w:cs="Times New Roman"/>
          <w:b/>
          <w:bCs/>
          <w:sz w:val="24"/>
          <w:szCs w:val="24"/>
        </w:rPr>
      </w:pPr>
    </w:p>
    <w:p w14:paraId="5558F183">
      <w:pPr>
        <w:spacing w:line="480" w:lineRule="auto"/>
        <w:ind w:firstLine="1081" w:firstLineChars="450"/>
        <w:rPr>
          <w:rFonts w:ascii="Garamond" w:hAnsi="Garamond" w:cs="Times New Roman"/>
          <w:b/>
          <w:bCs/>
          <w:sz w:val="24"/>
          <w:szCs w:val="24"/>
        </w:rPr>
      </w:pPr>
    </w:p>
    <w:p w14:paraId="2856AB9A">
      <w:pPr>
        <w:spacing w:line="480" w:lineRule="auto"/>
        <w:ind w:firstLine="1081" w:firstLineChars="450"/>
        <w:rPr>
          <w:rFonts w:ascii="Garamond" w:hAnsi="Garamond" w:cs="Times New Roman"/>
          <w:b/>
          <w:bCs/>
          <w:sz w:val="24"/>
          <w:szCs w:val="24"/>
        </w:rPr>
      </w:pPr>
    </w:p>
    <w:p w14:paraId="55A27E64">
      <w:pPr>
        <w:spacing w:line="480" w:lineRule="auto"/>
        <w:ind w:firstLine="1081" w:firstLineChars="450"/>
        <w:rPr>
          <w:rFonts w:ascii="Garamond" w:hAnsi="Garamond" w:cs="Times New Roman"/>
          <w:b/>
          <w:bCs/>
          <w:sz w:val="24"/>
          <w:szCs w:val="24"/>
        </w:rPr>
      </w:pPr>
    </w:p>
    <w:p w14:paraId="38A1353E">
      <w:pPr>
        <w:spacing w:line="480" w:lineRule="auto"/>
        <w:ind w:firstLine="1081" w:firstLineChars="450"/>
        <w:rPr>
          <w:rFonts w:ascii="Garamond" w:hAnsi="Garamond" w:cs="Times New Roman"/>
          <w:b/>
          <w:bCs/>
          <w:sz w:val="24"/>
          <w:szCs w:val="24"/>
        </w:rPr>
      </w:pPr>
    </w:p>
    <w:p w14:paraId="5C9DD715">
      <w:pPr>
        <w:spacing w:line="480" w:lineRule="auto"/>
        <w:ind w:firstLine="1081" w:firstLineChars="450"/>
        <w:rPr>
          <w:rFonts w:ascii="Garamond" w:hAnsi="Garamond" w:cs="Times New Roman"/>
          <w:b/>
          <w:bCs/>
          <w:sz w:val="24"/>
          <w:szCs w:val="24"/>
        </w:rPr>
      </w:pPr>
    </w:p>
    <w:p w14:paraId="4E190686">
      <w:pPr>
        <w:spacing w:line="480" w:lineRule="auto"/>
        <w:ind w:firstLine="1081" w:firstLineChars="450"/>
        <w:rPr>
          <w:rFonts w:ascii="Garamond" w:hAnsi="Garamond" w:cs="Times New Roman"/>
          <w:b/>
          <w:bCs/>
          <w:sz w:val="24"/>
          <w:szCs w:val="24"/>
        </w:rPr>
      </w:pPr>
      <w:r>
        <w:rPr>
          <w:rFonts w:ascii="Garamond" w:hAnsi="Garamond" w:cs="Times New Roman"/>
          <w:b/>
          <w:bCs/>
          <w:sz w:val="24"/>
          <w:szCs w:val="24"/>
        </w:rPr>
        <w:t>e.</w:t>
      </w:r>
    </w:p>
    <w:p w14:paraId="329350BA">
      <w:pPr>
        <w:spacing w:line="480" w:lineRule="auto"/>
        <w:jc w:val="center"/>
        <w:rPr>
          <w:rFonts w:ascii="Garamond" w:hAnsi="Garamond" w:cs="Times New Roman"/>
          <w:sz w:val="24"/>
          <w:szCs w:val="24"/>
        </w:rPr>
      </w:pPr>
      <w:r>
        <w:rPr>
          <w:rFonts w:ascii="Garamond" w:hAnsi="Garamond" w:cs="Times New Roman"/>
          <w:sz w:val="24"/>
          <w:szCs w:val="24"/>
        </w:rPr>
        <w:drawing>
          <wp:inline distT="0" distB="0" distL="0" distR="0">
            <wp:extent cx="5274310" cy="5031105"/>
            <wp:effectExtent l="0" t="0" r="2540" b="0"/>
            <wp:docPr id="6" name="图片 6" descr="地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地图&#10;&#10;描述已自动生成"/>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5031105"/>
                    </a:xfrm>
                    <a:prstGeom prst="rect">
                      <a:avLst/>
                    </a:prstGeom>
                  </pic:spPr>
                </pic:pic>
              </a:graphicData>
            </a:graphic>
          </wp:inline>
        </w:drawing>
      </w:r>
    </w:p>
    <w:p w14:paraId="7EE67B74">
      <w:pPr>
        <w:rPr>
          <w:rFonts w:ascii="Garamond" w:hAnsi="Garamond" w:cs="Times New Roman"/>
          <w:szCs w:val="21"/>
        </w:rPr>
      </w:pPr>
      <w:r>
        <w:rPr>
          <w:rFonts w:ascii="Garamond" w:hAnsi="Garamond" w:cs="Times New Roman"/>
          <w:szCs w:val="21"/>
        </w:rPr>
        <w:t xml:space="preserve">Notes: </w:t>
      </w:r>
      <w:bookmarkStart w:id="0" w:name="_Hlk188206355"/>
      <w:r>
        <w:rPr>
          <w:rFonts w:ascii="Garamond" w:hAnsi="Garamond" w:cs="Times New Roman"/>
          <w:szCs w:val="21"/>
        </w:rPr>
        <w:t xml:space="preserve">(a) average daily maximum temperature; (b) average daily minimum temperature; (c) average daily precipitation; (d) 30-day cumulative days of heat waves; and (e) a map of China illustrates the average daily maximum temperature in 31 provinces, municipalities, and autonomous regions, where red dots represent meteorological stations and green dots represent 118 restaurant sites located in 17 Chinese cities investigated in this study. </w:t>
      </w:r>
    </w:p>
    <w:bookmarkEnd w:id="0"/>
    <w:p w14:paraId="09CC1E41">
      <w:pPr>
        <w:spacing w:line="480" w:lineRule="auto"/>
        <w:jc w:val="left"/>
        <w:rPr>
          <w:rFonts w:ascii="Garamond" w:hAnsi="Garamond" w:cs="Times New Roman"/>
          <w:b/>
          <w:bCs/>
          <w:sz w:val="24"/>
          <w:szCs w:val="24"/>
        </w:rPr>
      </w:pPr>
    </w:p>
    <w:p w14:paraId="3CD252EC">
      <w:pPr>
        <w:spacing w:line="480" w:lineRule="auto"/>
        <w:jc w:val="left"/>
        <w:rPr>
          <w:rFonts w:ascii="Garamond" w:hAnsi="Garamond" w:cs="Times New Roman"/>
          <w:i/>
          <w:iCs/>
          <w:sz w:val="24"/>
          <w:szCs w:val="24"/>
        </w:rPr>
      </w:pPr>
      <w:r>
        <w:rPr>
          <w:rFonts w:ascii="Garamond" w:hAnsi="Garamond" w:cs="Times New Roman"/>
          <w:i/>
          <w:iCs/>
          <w:sz w:val="24"/>
          <w:szCs w:val="24"/>
        </w:rPr>
        <w:t>3.2 Impact of temperature</w:t>
      </w:r>
    </w:p>
    <w:p w14:paraId="30609282">
      <w:pPr>
        <w:spacing w:line="480" w:lineRule="auto"/>
        <w:rPr>
          <w:rFonts w:hint="eastAsia" w:ascii="Garamond" w:hAnsi="Garamond" w:cs="Times New Roman"/>
          <w:sz w:val="24"/>
          <w:szCs w:val="24"/>
        </w:rPr>
      </w:pPr>
      <w:r>
        <w:rPr>
          <w:rFonts w:ascii="Garamond" w:hAnsi="Garamond" w:cs="Times New Roman"/>
          <w:sz w:val="24"/>
          <w:szCs w:val="24"/>
        </w:rPr>
        <w:t>Results from linear HDFE regressions show that an increase of 1 degree Celsius in the daily maximum temperature leads to a 0.0005 decrease (</w:t>
      </w:r>
      <w:r>
        <w:rPr>
          <w:rFonts w:ascii="Garamond" w:hAnsi="Garamond" w:cs="Times New Roman"/>
          <w:i/>
          <w:iCs/>
          <w:sz w:val="24"/>
          <w:szCs w:val="24"/>
        </w:rPr>
        <w:t>P</w:t>
      </w:r>
      <w:r>
        <w:rPr>
          <w:rFonts w:ascii="Garamond" w:hAnsi="Garamond" w:cs="Times New Roman"/>
          <w:sz w:val="24"/>
          <w:szCs w:val="24"/>
        </w:rPr>
        <w:t xml:space="preserve"> = 0.003) in meal diversity as measured by IDDS, a 0.009 increase (</w:t>
      </w:r>
      <w:r>
        <w:rPr>
          <w:rFonts w:ascii="Garamond" w:hAnsi="Garamond" w:cs="Times New Roman"/>
          <w:i/>
          <w:iCs/>
          <w:sz w:val="24"/>
          <w:szCs w:val="24"/>
        </w:rPr>
        <w:t>P</w:t>
      </w:r>
      <w:r>
        <w:rPr>
          <w:rFonts w:ascii="Garamond" w:hAnsi="Garamond" w:cs="Times New Roman"/>
          <w:sz w:val="24"/>
          <w:szCs w:val="24"/>
        </w:rPr>
        <w:t xml:space="preserve"> =0 .001) in meal imbalance as measured by DQD, and a 0.007 decrease (</w:t>
      </w:r>
      <w:r>
        <w:rPr>
          <w:rFonts w:ascii="Garamond" w:hAnsi="Garamond" w:cs="Times New Roman"/>
          <w:i/>
          <w:iCs/>
          <w:sz w:val="24"/>
          <w:szCs w:val="24"/>
        </w:rPr>
        <w:t>P</w:t>
      </w:r>
      <w:r>
        <w:rPr>
          <w:rFonts w:ascii="Garamond" w:hAnsi="Garamond" w:cs="Times New Roman"/>
          <w:sz w:val="24"/>
          <w:szCs w:val="24"/>
        </w:rPr>
        <w:t xml:space="preserve"> = 0.001) in meal quality as measured by the HEI-2015 score (Figure 2, panel a). These estimates point to a generally negative impact of temperature on diet outcomes among Chinese consumers. All models were adjusted for the size of the party and a daily time trend variable that can capture the trajectory of diet outcomes over time (e.g., changes due to COVID-19), and 2,278 fixed effects (FE, including 16 city FE, 6 day-of-week FE, 4 year FE, 11 month FE, 117 restaurant site FE, 736 day-of-week*restaurant site FE, 1,344 month*restaurant site FE, and 44 city*year FE).</w:t>
      </w:r>
      <w:r>
        <w:rPr>
          <w:rFonts w:hint="eastAsia" w:ascii="Garamond" w:hAnsi="Garamond" w:cs="Times New Roman"/>
          <w:sz w:val="24"/>
          <w:szCs w:val="24"/>
        </w:rPr>
        <w:t xml:space="preserve"> Note that we present the </w:t>
      </w:r>
      <w:r>
        <w:rPr>
          <w:rFonts w:ascii="Garamond" w:hAnsi="Garamond" w:cs="Times New Roman"/>
          <w:sz w:val="24"/>
          <w:szCs w:val="24"/>
        </w:rPr>
        <w:t>visualization</w:t>
      </w:r>
      <w:r>
        <w:rPr>
          <w:rFonts w:hint="eastAsia" w:ascii="Garamond" w:hAnsi="Garamond" w:cs="Times New Roman"/>
          <w:sz w:val="24"/>
          <w:szCs w:val="24"/>
        </w:rPr>
        <w:t xml:space="preserve"> of our findings and leave the tables in the appendix for simplicity. </w:t>
      </w:r>
    </w:p>
    <w:p w14:paraId="2D596403">
      <w:pPr>
        <w:spacing w:line="480" w:lineRule="auto"/>
        <w:ind w:firstLine="420"/>
        <w:jc w:val="left"/>
        <w:rPr>
          <w:rFonts w:ascii="Garamond" w:hAnsi="Garamond" w:cs="Times New Roman"/>
          <w:sz w:val="24"/>
          <w:szCs w:val="24"/>
        </w:rPr>
      </w:pPr>
    </w:p>
    <w:p w14:paraId="74F12BB4">
      <w:pPr>
        <w:widowControl/>
        <w:jc w:val="left"/>
        <w:rPr>
          <w:rFonts w:ascii="Garamond" w:hAnsi="Garamond" w:cs="Times New Roman"/>
          <w:b/>
          <w:bCs/>
          <w:sz w:val="24"/>
          <w:szCs w:val="24"/>
        </w:rPr>
      </w:pPr>
      <w:r>
        <w:rPr>
          <w:rFonts w:ascii="Garamond" w:hAnsi="Garamond" w:cs="Times New Roman"/>
          <w:b/>
          <w:bCs/>
          <w:sz w:val="24"/>
          <w:szCs w:val="24"/>
        </w:rPr>
        <w:br w:type="page"/>
      </w:r>
    </w:p>
    <w:p w14:paraId="4B2ABF4D">
      <w:pPr>
        <w:spacing w:line="480" w:lineRule="auto"/>
        <w:jc w:val="center"/>
        <w:rPr>
          <w:rFonts w:ascii="Garamond" w:hAnsi="Garamond" w:cs="Times New Roman"/>
          <w:b/>
          <w:bCs/>
          <w:sz w:val="24"/>
          <w:szCs w:val="24"/>
        </w:rPr>
      </w:pPr>
      <w:r>
        <w:rPr>
          <w:rFonts w:ascii="Garamond" w:hAnsi="Garamond" w:cs="Times New Roman"/>
          <w:b/>
          <w:bCs/>
          <w:sz w:val="24"/>
          <w:szCs w:val="24"/>
        </w:rPr>
        <w:t>Figure 2. Effects of climate variables on meal quality (N = 15,420,075)</w:t>
      </w:r>
    </w:p>
    <w:p w14:paraId="1640D383">
      <w:pPr>
        <w:spacing w:line="480" w:lineRule="auto"/>
        <w:ind w:firstLine="840" w:firstLineChars="350"/>
        <w:jc w:val="left"/>
        <w:rPr>
          <w:rFonts w:ascii="Garamond" w:hAnsi="Garamond" w:cs="Times New Roman"/>
          <w:b/>
          <w:bCs/>
          <w:sz w:val="24"/>
          <w:szCs w:val="24"/>
        </w:rPr>
      </w:pPr>
      <w:r>
        <w:rPr>
          <w:rFonts w:ascii="Garamond" w:hAnsi="Garamond" w:cs="Times New Roman"/>
          <w:b/>
          <w:bCs/>
          <w:sz w:val="24"/>
          <w:szCs w:val="24"/>
        </w:rPr>
        <w:t>a.</w:t>
      </w:r>
    </w:p>
    <w:p w14:paraId="3ACB14B8">
      <w:pPr>
        <w:spacing w:line="480" w:lineRule="auto"/>
        <w:jc w:val="center"/>
        <w:rPr>
          <w:rFonts w:ascii="Garamond" w:hAnsi="Garamond" w:cs="Times New Roman"/>
          <w:sz w:val="24"/>
          <w:szCs w:val="24"/>
        </w:rPr>
      </w:pPr>
      <w:r>
        <w:rPr>
          <w:rFonts w:ascii="Garamond" w:hAnsi="Garamond" w:cs="Times New Roman"/>
          <w:sz w:val="24"/>
          <w:szCs w:val="24"/>
        </w:rPr>
        <w:drawing>
          <wp:inline distT="0" distB="0" distL="0" distR="0">
            <wp:extent cx="5274310" cy="2637155"/>
            <wp:effectExtent l="0" t="0" r="2540" b="0"/>
            <wp:docPr id="5" name="图片 5" descr="图表,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表, 箱线图&#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0D9CAA72">
      <w:pPr>
        <w:spacing w:line="480" w:lineRule="auto"/>
        <w:ind w:firstLine="840" w:firstLineChars="350"/>
        <w:rPr>
          <w:rFonts w:ascii="Garamond" w:hAnsi="Garamond" w:cs="Times New Roman"/>
          <w:b/>
          <w:bCs/>
          <w:sz w:val="24"/>
          <w:szCs w:val="24"/>
        </w:rPr>
      </w:pPr>
      <w:r>
        <w:rPr>
          <w:rFonts w:ascii="Garamond" w:hAnsi="Garamond" w:cs="Times New Roman"/>
          <w:b/>
          <w:bCs/>
          <w:sz w:val="24"/>
          <w:szCs w:val="24"/>
        </w:rPr>
        <w:t>b.</w:t>
      </w:r>
    </w:p>
    <w:p w14:paraId="1890A703">
      <w:pPr>
        <w:spacing w:line="480" w:lineRule="auto"/>
        <w:jc w:val="center"/>
        <w:rPr>
          <w:rFonts w:ascii="Garamond" w:hAnsi="Garamond" w:cs="Times New Roman"/>
          <w:sz w:val="24"/>
          <w:szCs w:val="24"/>
        </w:rPr>
      </w:pPr>
      <w:r>
        <w:rPr>
          <w:rFonts w:ascii="Garamond" w:hAnsi="Garamond" w:cs="Times New Roman"/>
          <w:sz w:val="24"/>
          <w:szCs w:val="24"/>
        </w:rPr>
        <w:drawing>
          <wp:inline distT="0" distB="0" distL="0" distR="0">
            <wp:extent cx="5276850" cy="26352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76850" cy="2635250"/>
                    </a:xfrm>
                    <a:prstGeom prst="rect">
                      <a:avLst/>
                    </a:prstGeom>
                    <a:noFill/>
                    <a:ln>
                      <a:noFill/>
                    </a:ln>
                  </pic:spPr>
                </pic:pic>
              </a:graphicData>
            </a:graphic>
          </wp:inline>
        </w:drawing>
      </w:r>
    </w:p>
    <w:p w14:paraId="082DFD07">
      <w:pPr>
        <w:rPr>
          <w:rFonts w:ascii="Garamond" w:hAnsi="Garamond" w:cs="Times New Roman"/>
          <w:szCs w:val="21"/>
        </w:rPr>
      </w:pPr>
      <w:r>
        <w:rPr>
          <w:rFonts w:ascii="Garamond" w:hAnsi="Garamond" w:cs="Times New Roman"/>
          <w:szCs w:val="21"/>
        </w:rPr>
        <w:t xml:space="preserve">Notes: Forest plots show key estimates of climate variables for 12 HDFE regressions implemented separately. (a) The marginal effects or estimated coefficients (with 95% confidence intervals) of daily maximum temperature, precipitation, and wind speed on diet outcomes were estimated in the linear specification simultaneously; (b) the marginal effects (with 95% confidence intervals) of heat waves, 30-day cumulative days in heat waves, and 7-day cumulative days in heat waves on diet outcomes were estimated separately. Diet outcomes evaluated include diet diversity measured by IDDS, diet imbalance measured by DQD, and diet quality measured by HEI-2015. Controls include the size of the party, daily time trend, and 2,278 fixed effects (FE; including 16 city FE, 6 day-of-week FE, 4 year FE, 11 month FE, 117 restaurant site FE, 736 day-of-week*restaurant site FE, 1,344 month*restaurant site FE, and 44 city*year FE). Standard errors are clustered by the restaurant site. </w:t>
      </w:r>
      <w:r>
        <w:rPr>
          <w:rFonts w:ascii="Garamond" w:hAnsi="Garamond" w:cs="Times New Roman"/>
          <w:i/>
          <w:iCs/>
          <w:szCs w:val="21"/>
        </w:rPr>
        <w:t>P</w:t>
      </w:r>
      <w:r>
        <w:rPr>
          <w:rFonts w:ascii="Garamond" w:hAnsi="Garamond" w:cs="Times New Roman"/>
          <w:szCs w:val="21"/>
        </w:rPr>
        <w:t xml:space="preserve"> values are for two-tailed tests.</w:t>
      </w:r>
    </w:p>
    <w:p w14:paraId="54007FB0">
      <w:pPr>
        <w:spacing w:line="480" w:lineRule="auto"/>
        <w:jc w:val="left"/>
        <w:rPr>
          <w:rFonts w:ascii="Garamond" w:hAnsi="Garamond" w:cs="Times New Roman"/>
          <w:sz w:val="24"/>
          <w:szCs w:val="24"/>
        </w:rPr>
      </w:pPr>
    </w:p>
    <w:p w14:paraId="4FD4103E">
      <w:pPr>
        <w:spacing w:line="480" w:lineRule="auto"/>
        <w:ind w:firstLine="420"/>
        <w:rPr>
          <w:rFonts w:ascii="Garamond" w:hAnsi="Garamond" w:cs="Times New Roman"/>
          <w:sz w:val="24"/>
          <w:szCs w:val="24"/>
        </w:rPr>
      </w:pPr>
      <w:r>
        <w:rPr>
          <w:rFonts w:ascii="Garamond" w:hAnsi="Garamond" w:cs="Times New Roman"/>
          <w:sz w:val="24"/>
          <w:szCs w:val="24"/>
        </w:rPr>
        <w:t xml:space="preserve">To capture non-linearities between temperature and diet outcomes, we adopt a more flexible binned model specification to allow for nonparametric effects of temperature on diet outcomes. Figure 3 plots key estimates of temperature responses for each meal outcome across 16 temperature bins (with 95% confidence intervals denoted by dashed lines) from the nonparametric binned HDFE regressions. From panels a-c of Figure 3, although the relationship between temperature and meal outcomes is less precisely estimated at some of the coldest or hottest bins of the temperature spectrum, the results are markedly similar across all three meal outcomes: each exhibits the inverted </w:t>
      </w:r>
      <w:r>
        <w:rPr>
          <w:rFonts w:ascii="Garamond" w:hAnsi="Garamond" w:cs="Times New Roman"/>
          <w:i/>
          <w:iCs/>
          <w:sz w:val="24"/>
          <w:szCs w:val="24"/>
        </w:rPr>
        <w:t>J</w:t>
      </w:r>
      <w:r>
        <w:rPr>
          <w:rFonts w:ascii="Garamond" w:hAnsi="Garamond" w:cs="Times New Roman"/>
          <w:sz w:val="24"/>
          <w:szCs w:val="24"/>
        </w:rPr>
        <w:t xml:space="preserve"> or </w:t>
      </w:r>
      <w:r>
        <w:rPr>
          <w:rFonts w:ascii="Garamond" w:hAnsi="Garamond" w:cs="Times New Roman"/>
          <w:i/>
          <w:iCs/>
          <w:sz w:val="24"/>
          <w:szCs w:val="24"/>
        </w:rPr>
        <w:t>J</w:t>
      </w:r>
      <w:r>
        <w:rPr>
          <w:rFonts w:ascii="Garamond" w:hAnsi="Garamond" w:cs="Times New Roman"/>
          <w:sz w:val="24"/>
          <w:szCs w:val="24"/>
        </w:rPr>
        <w:t xml:space="preserve">-shaped curve, and each reaches the optimal point between 9-12°C. The inverted </w:t>
      </w:r>
      <w:r>
        <w:rPr>
          <w:rFonts w:ascii="Garamond" w:hAnsi="Garamond" w:cs="Times New Roman"/>
          <w:i/>
          <w:iCs/>
          <w:sz w:val="24"/>
          <w:szCs w:val="24"/>
        </w:rPr>
        <w:t>J</w:t>
      </w:r>
      <w:r>
        <w:rPr>
          <w:rFonts w:ascii="Garamond" w:hAnsi="Garamond" w:cs="Times New Roman"/>
          <w:sz w:val="24"/>
          <w:szCs w:val="24"/>
        </w:rPr>
        <w:t xml:space="preserve">-shaped relationships between temperature and both meal diversity (Figure 3, panel a) and quality (Figure 3, panel c), and the </w:t>
      </w:r>
      <w:r>
        <w:rPr>
          <w:rFonts w:ascii="Garamond" w:hAnsi="Garamond" w:cs="Times New Roman"/>
          <w:i/>
          <w:iCs/>
          <w:sz w:val="24"/>
          <w:szCs w:val="24"/>
        </w:rPr>
        <w:t>J</w:t>
      </w:r>
      <w:r>
        <w:rPr>
          <w:rFonts w:ascii="Garamond" w:hAnsi="Garamond" w:cs="Times New Roman"/>
          <w:sz w:val="24"/>
          <w:szCs w:val="24"/>
        </w:rPr>
        <w:t xml:space="preserve">-shaped relationship between temperature and meal imbalance (Figure 3, panel b) together indicate more evident stress of hot temperature on meal outcomes. </w:t>
      </w:r>
    </w:p>
    <w:p w14:paraId="09AC968C">
      <w:pPr>
        <w:spacing w:line="480" w:lineRule="auto"/>
        <w:jc w:val="left"/>
        <w:rPr>
          <w:rFonts w:ascii="Garamond" w:hAnsi="Garamond" w:cs="Times New Roman"/>
          <w:sz w:val="24"/>
          <w:szCs w:val="24"/>
        </w:rPr>
      </w:pPr>
    </w:p>
    <w:p w14:paraId="0707F5BF">
      <w:pPr>
        <w:widowControl/>
        <w:jc w:val="left"/>
        <w:rPr>
          <w:rFonts w:ascii="Garamond" w:hAnsi="Garamond" w:cs="Times New Roman"/>
          <w:b/>
          <w:bCs/>
          <w:sz w:val="24"/>
          <w:szCs w:val="24"/>
        </w:rPr>
      </w:pPr>
      <w:r>
        <w:rPr>
          <w:rFonts w:ascii="Garamond" w:hAnsi="Garamond" w:cs="Times New Roman"/>
          <w:b/>
          <w:bCs/>
          <w:sz w:val="24"/>
          <w:szCs w:val="24"/>
        </w:rPr>
        <w:br w:type="page"/>
      </w:r>
    </w:p>
    <w:p w14:paraId="25467704">
      <w:pPr>
        <w:spacing w:line="480" w:lineRule="auto"/>
        <w:ind w:firstLine="420"/>
        <w:jc w:val="center"/>
        <w:rPr>
          <w:rFonts w:ascii="Garamond" w:hAnsi="Garamond" w:cs="Times New Roman"/>
          <w:sz w:val="24"/>
          <w:szCs w:val="24"/>
        </w:rPr>
      </w:pPr>
      <w:r>
        <w:rPr>
          <w:rFonts w:ascii="Garamond" w:hAnsi="Garamond" w:cs="Times New Roman"/>
          <w:b/>
          <w:bCs/>
          <w:sz w:val="24"/>
          <w:szCs w:val="24"/>
        </w:rPr>
        <w:t>Figure 3. Nonparametric temperature-meal relationships (N = 15,420,075)</w:t>
      </w:r>
    </w:p>
    <w:p w14:paraId="5CB3F976">
      <w:pPr>
        <w:spacing w:line="480" w:lineRule="auto"/>
        <w:jc w:val="center"/>
        <w:rPr>
          <w:rFonts w:ascii="Garamond" w:hAnsi="Garamond" w:cs="Times New Roman"/>
          <w:sz w:val="24"/>
          <w:szCs w:val="24"/>
        </w:rPr>
      </w:pPr>
      <w:r>
        <w:rPr>
          <w:rFonts w:ascii="Garamond" w:hAnsi="Garamond" w:cs="Times New Roman"/>
          <w:sz w:val="24"/>
          <w:szCs w:val="24"/>
        </w:rPr>
        <w:drawing>
          <wp:inline distT="0" distB="0" distL="0" distR="0">
            <wp:extent cx="5274310" cy="7120890"/>
            <wp:effectExtent l="0" t="0" r="2540" b="3810"/>
            <wp:docPr id="1" name="图片 1" descr="图表,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表, 直方图&#10;&#10;描述已自动生成"/>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7120890"/>
                    </a:xfrm>
                    <a:prstGeom prst="rect">
                      <a:avLst/>
                    </a:prstGeom>
                  </pic:spPr>
                </pic:pic>
              </a:graphicData>
            </a:graphic>
          </wp:inline>
        </w:drawing>
      </w:r>
    </w:p>
    <w:p w14:paraId="1F9997C9">
      <w:pPr>
        <w:rPr>
          <w:rFonts w:ascii="Garamond" w:hAnsi="Garamond" w:cs="Times New Roman"/>
          <w:szCs w:val="21"/>
        </w:rPr>
      </w:pPr>
      <w:r>
        <w:rPr>
          <w:rFonts w:ascii="Garamond" w:hAnsi="Garamond" w:cs="Times New Roman"/>
          <w:szCs w:val="21"/>
        </w:rPr>
        <w:t>Notes:</w:t>
      </w:r>
      <w:r>
        <w:rPr>
          <w:rFonts w:ascii="Garamond" w:hAnsi="Garamond" w:cs="Times New Roman"/>
          <w:b/>
          <w:bCs/>
          <w:szCs w:val="21"/>
        </w:rPr>
        <w:t xml:space="preserve"> </w:t>
      </w:r>
      <w:r>
        <w:rPr>
          <w:rFonts w:ascii="Garamond" w:hAnsi="Garamond" w:cs="Times New Roman"/>
          <w:szCs w:val="21"/>
        </w:rPr>
        <w:t xml:space="preserve">Each plot shows key estimates (with 95% confidence intervals) of 16 temperature bins from nonparametric binned HDFE regressions. Meal outcomes evaluated include: (a) meal diversity measured by IDDS; (b) meal imbalance measured by DQD; and (c) meal quality measured by HEI-2015. Controls include the size of the party, daily time trend, and 2,278 fixed effects (FE; including 16 city FE, 6 day-of-week FE, 4 year FE, 11 month FE, 117 restaurant site FE, 736 day-of-week*restaurant site FE, 1,344 month*restaurant site FE, and 44 city*year FE). Standard errors are clustered by the restaurant site. </w:t>
      </w:r>
      <w:r>
        <w:rPr>
          <w:rFonts w:ascii="Garamond" w:hAnsi="Garamond" w:cs="Times New Roman"/>
          <w:i/>
          <w:iCs/>
          <w:szCs w:val="21"/>
        </w:rPr>
        <w:t>P</w:t>
      </w:r>
      <w:r>
        <w:rPr>
          <w:rFonts w:ascii="Garamond" w:hAnsi="Garamond" w:cs="Times New Roman"/>
          <w:szCs w:val="21"/>
        </w:rPr>
        <w:t xml:space="preserve"> values are for two-tailed tests.</w:t>
      </w:r>
    </w:p>
    <w:p w14:paraId="5421D2C3">
      <w:pPr>
        <w:spacing w:line="480" w:lineRule="auto"/>
        <w:jc w:val="left"/>
        <w:rPr>
          <w:rFonts w:ascii="Garamond" w:hAnsi="Garamond" w:cs="Times New Roman"/>
          <w:i/>
          <w:iCs/>
          <w:sz w:val="24"/>
          <w:szCs w:val="24"/>
        </w:rPr>
      </w:pPr>
      <w:r>
        <w:rPr>
          <w:rFonts w:ascii="Garamond" w:hAnsi="Garamond" w:cs="Times New Roman"/>
          <w:i/>
          <w:iCs/>
          <w:sz w:val="24"/>
          <w:szCs w:val="24"/>
        </w:rPr>
        <w:t>3.3 Impact of heat waves</w:t>
      </w:r>
    </w:p>
    <w:p w14:paraId="09FD6943">
      <w:pPr>
        <w:spacing w:after="240" w:line="480" w:lineRule="auto"/>
        <w:rPr>
          <w:rFonts w:ascii="Garamond" w:hAnsi="Garamond" w:cs="Times New Roman"/>
          <w:sz w:val="24"/>
          <w:szCs w:val="24"/>
        </w:rPr>
      </w:pPr>
      <w:r>
        <w:rPr>
          <w:rFonts w:ascii="Garamond" w:hAnsi="Garamond" w:cs="Times New Roman"/>
          <w:sz w:val="24"/>
          <w:szCs w:val="24"/>
        </w:rPr>
        <w:t xml:space="preserve">Panel b of Figure 2 reports the marginal effects of heat waves, 30-day cumulative days of heat waves, and 7-day cumulative days of heat waves on meal outcomes from separate linear HDFE regressions, respectively. The results indicate that a heat wave in general leads to lower meal diversity measured by IDDS, higher meal imbalance measured by DQD, and lower meal quality measured by the HEI-2015 score across different measures (except that the estimated coefficient of the heat wave dummy on IDDS is insignificant). Consistent with the results presented above, these findings further support the notion that extreme hot temperature events have a negative effect on meal outcomes. </w:t>
      </w:r>
    </w:p>
    <w:p w14:paraId="48D75938">
      <w:pPr>
        <w:spacing w:line="480" w:lineRule="auto"/>
        <w:jc w:val="left"/>
        <w:rPr>
          <w:rFonts w:ascii="Garamond" w:hAnsi="Garamond" w:cs="Times New Roman"/>
          <w:i/>
          <w:iCs/>
          <w:sz w:val="24"/>
          <w:szCs w:val="24"/>
        </w:rPr>
      </w:pPr>
      <w:r>
        <w:rPr>
          <w:rFonts w:ascii="Garamond" w:hAnsi="Garamond" w:cs="Times New Roman"/>
          <w:i/>
          <w:iCs/>
          <w:sz w:val="24"/>
          <w:szCs w:val="24"/>
        </w:rPr>
        <w:t>3.4 Impact of precipitation and wind speed</w:t>
      </w:r>
    </w:p>
    <w:p w14:paraId="0FE9C02E">
      <w:pPr>
        <w:spacing w:line="480" w:lineRule="auto"/>
        <w:rPr>
          <w:rFonts w:ascii="Garamond" w:hAnsi="Garamond" w:cs="Times New Roman"/>
          <w:sz w:val="24"/>
          <w:szCs w:val="24"/>
        </w:rPr>
      </w:pPr>
      <w:r>
        <w:rPr>
          <w:rFonts w:ascii="Garamond" w:hAnsi="Garamond" w:cs="Times New Roman"/>
          <w:sz w:val="24"/>
          <w:szCs w:val="24"/>
        </w:rPr>
        <w:t>As reported in Figure 2, panel a, increasing precipitation shows a significantly positive effect on all three meal outcome measures. van der Merwe et al. (2022) reported that higher precipitation is associated with a lower probability of child stunting in Nigeria. López-Olmedo et al. (2021) found that each 0.5mm annual decrease in precipitation was associated with lower consumption of unprocessed foods and higher consumption of ultra-processed foods in Mexico. Our results thus expand existing findings by showing that a 10 mm increase in daily precipitation is immediately associated with a 0.003 increase (</w:t>
      </w:r>
      <w:r>
        <w:rPr>
          <w:rFonts w:ascii="Garamond" w:hAnsi="Garamond" w:cs="Times New Roman"/>
          <w:i/>
          <w:iCs/>
          <w:sz w:val="24"/>
          <w:szCs w:val="24"/>
        </w:rPr>
        <w:t>P</w:t>
      </w:r>
      <w:r>
        <w:rPr>
          <w:rFonts w:ascii="Garamond" w:hAnsi="Garamond" w:cs="Times New Roman"/>
          <w:sz w:val="24"/>
          <w:szCs w:val="24"/>
        </w:rPr>
        <w:t xml:space="preserve"> = 0.017) in meal diversity as measured by IDDS, a 0.009 decrease (</w:t>
      </w:r>
      <w:r>
        <w:rPr>
          <w:rFonts w:ascii="Garamond" w:hAnsi="Garamond" w:cs="Times New Roman"/>
          <w:i/>
          <w:iCs/>
          <w:sz w:val="24"/>
          <w:szCs w:val="24"/>
        </w:rPr>
        <w:t>P</w:t>
      </w:r>
      <w:r>
        <w:rPr>
          <w:rFonts w:ascii="Garamond" w:hAnsi="Garamond" w:cs="Times New Roman"/>
          <w:sz w:val="24"/>
          <w:szCs w:val="24"/>
        </w:rPr>
        <w:t xml:space="preserve"> = 0.005) in meal imbalance as measured by DQD, and a 0.028 increase (</w:t>
      </w:r>
      <w:r>
        <w:rPr>
          <w:rFonts w:ascii="Garamond" w:hAnsi="Garamond" w:cs="Times New Roman"/>
          <w:i/>
          <w:iCs/>
          <w:sz w:val="24"/>
          <w:szCs w:val="24"/>
        </w:rPr>
        <w:t>P</w:t>
      </w:r>
      <w:r>
        <w:rPr>
          <w:rFonts w:ascii="Garamond" w:hAnsi="Garamond" w:cs="Times New Roman"/>
          <w:sz w:val="24"/>
          <w:szCs w:val="24"/>
        </w:rPr>
        <w:t xml:space="preserve"> = 0.003) in meal quality as measured by the HEI-2015 score. These findings underscore the intricate interplay between precipitation and dietary behaviors, highlighting the instant significance of rainfall in promoting dietary diversity, balance, and nutritional quality. In contrast, our analysis does not reveal a significant impact of wind speed on any of the three meal outcome measures examined in our study.</w:t>
      </w:r>
    </w:p>
    <w:p w14:paraId="40ED9AC0">
      <w:pPr>
        <w:spacing w:line="480" w:lineRule="auto"/>
        <w:jc w:val="left"/>
        <w:rPr>
          <w:rFonts w:ascii="Garamond" w:hAnsi="Garamond" w:cs="Times New Roman"/>
          <w:sz w:val="24"/>
          <w:szCs w:val="24"/>
        </w:rPr>
      </w:pPr>
    </w:p>
    <w:p w14:paraId="48AED814">
      <w:pPr>
        <w:spacing w:line="480" w:lineRule="auto"/>
        <w:jc w:val="left"/>
        <w:rPr>
          <w:rFonts w:ascii="Garamond" w:hAnsi="Garamond" w:cs="Times New Roman"/>
          <w:i/>
          <w:iCs/>
          <w:sz w:val="24"/>
          <w:szCs w:val="24"/>
        </w:rPr>
      </w:pPr>
      <w:r>
        <w:rPr>
          <w:rFonts w:ascii="Garamond" w:hAnsi="Garamond" w:cs="Times New Roman"/>
          <w:i/>
          <w:iCs/>
          <w:sz w:val="24"/>
          <w:szCs w:val="24"/>
        </w:rPr>
        <w:t>3.5 Impact on energy intake</w:t>
      </w:r>
    </w:p>
    <w:p w14:paraId="37B88433">
      <w:pPr>
        <w:spacing w:after="240" w:line="480" w:lineRule="auto"/>
        <w:rPr>
          <w:rFonts w:ascii="Garamond" w:hAnsi="Garamond" w:cs="Times New Roman"/>
          <w:sz w:val="24"/>
          <w:szCs w:val="24"/>
        </w:rPr>
      </w:pPr>
      <w:r>
        <w:rPr>
          <w:rFonts w:ascii="Garamond" w:hAnsi="Garamond" w:cs="Times New Roman"/>
          <w:sz w:val="24"/>
          <w:szCs w:val="24"/>
        </w:rPr>
        <w:t>To test how climate variables might affect consumers’ energy intake, we match each ingredient of the dishes ordered with the nutrition information from the China Food Composition Tables (Chinese Center for Disease and Prevention, 2019), and calculate the aggregated calories of each order. Interestingly, an increase of 1 degree Celsius in the daily maximum temperature is associated with a 1.822 decrease (</w:t>
      </w:r>
      <w:r>
        <w:rPr>
          <w:rFonts w:ascii="Garamond" w:hAnsi="Garamond" w:cs="Times New Roman"/>
          <w:i/>
          <w:iCs/>
          <w:sz w:val="24"/>
          <w:szCs w:val="24"/>
        </w:rPr>
        <w:t>P</w:t>
      </w:r>
      <w:r>
        <w:rPr>
          <w:rFonts w:ascii="Garamond" w:hAnsi="Garamond" w:cs="Times New Roman"/>
          <w:sz w:val="24"/>
          <w:szCs w:val="24"/>
        </w:rPr>
        <w:t xml:space="preserve"> = 0.006) in caloric intake, despite the negative impact on diet quality presented in previous sections. Conventionally, lower caloric intake had been regarded as “healthier.” However, in order to achieve public health improvement more efficiently, recent studies advocate focusing on food and diet quality rather than caloric quantity </w:t>
      </w:r>
      <w:r>
        <w:rPr>
          <w:rFonts w:ascii="Garamond" w:hAnsi="Garamond" w:cs="Times New Roman"/>
          <w:i/>
          <w:iCs/>
          <w:sz w:val="24"/>
          <w:szCs w:val="24"/>
        </w:rPr>
        <w:t>per se</w:t>
      </w:r>
      <w:r>
        <w:rPr>
          <w:rFonts w:ascii="Garamond" w:hAnsi="Garamond" w:cs="Times New Roman"/>
          <w:sz w:val="24"/>
          <w:szCs w:val="24"/>
        </w:rPr>
        <w:t xml:space="preserve"> (Lucan and DiNicolantonio, 2015; Fernandes et al., 2019). Our findings lend support to this notion by showing that although hot temperatures lead to lower caloric intake among Chinese consumers, meal quality still declines.    </w:t>
      </w:r>
    </w:p>
    <w:p w14:paraId="52DAC5C2">
      <w:pPr>
        <w:spacing w:line="480" w:lineRule="auto"/>
        <w:jc w:val="left"/>
        <w:rPr>
          <w:rFonts w:ascii="Garamond" w:hAnsi="Garamond" w:cs="Times New Roman"/>
          <w:i/>
          <w:iCs/>
          <w:sz w:val="24"/>
          <w:szCs w:val="24"/>
        </w:rPr>
      </w:pPr>
      <w:r>
        <w:rPr>
          <w:rFonts w:ascii="Garamond" w:hAnsi="Garamond" w:cs="Times New Roman"/>
          <w:i/>
          <w:iCs/>
          <w:sz w:val="24"/>
          <w:szCs w:val="24"/>
        </w:rPr>
        <w:t xml:space="preserve">3.6 </w:t>
      </w:r>
      <w:r>
        <w:rPr>
          <w:rFonts w:hint="eastAsia" w:ascii="Garamond" w:hAnsi="Garamond" w:cs="Times New Roman"/>
          <w:i/>
          <w:iCs/>
          <w:sz w:val="24"/>
          <w:szCs w:val="24"/>
        </w:rPr>
        <w:t xml:space="preserve">Robustness check: </w:t>
      </w:r>
      <w:r>
        <w:rPr>
          <w:rFonts w:ascii="Garamond" w:hAnsi="Garamond" w:cs="Times New Roman"/>
          <w:i/>
          <w:iCs/>
          <w:sz w:val="24"/>
          <w:szCs w:val="24"/>
        </w:rPr>
        <w:t>Impacts by group size</w:t>
      </w:r>
    </w:p>
    <w:p w14:paraId="380677E1">
      <w:pPr>
        <w:spacing w:line="480" w:lineRule="auto"/>
        <w:rPr>
          <w:rFonts w:ascii="Garamond" w:hAnsi="Garamond" w:cs="Times New Roman"/>
          <w:sz w:val="24"/>
          <w:szCs w:val="24"/>
          <w:lang w:val="en-GB"/>
        </w:rPr>
      </w:pPr>
      <w:r>
        <w:rPr>
          <w:rFonts w:ascii="Garamond" w:hAnsi="Garamond" w:cs="Times New Roman"/>
          <w:sz w:val="24"/>
          <w:szCs w:val="24"/>
          <w:lang w:val="en-GB"/>
        </w:rPr>
        <w:t>As previously noted, a potential concern in our analysis is the issue of self-selection. Larger dining groups, comprising more than two customers, are more likely to have pre-scheduled or booked their reservations, making them less sensitive to immediate weather conditions. To address this concern and enhance the robustness of our findings, we further examine the impacts of temperature and heat waves by group size.</w:t>
      </w:r>
    </w:p>
    <w:p w14:paraId="738B08CD">
      <w:pPr>
        <w:spacing w:line="480" w:lineRule="auto"/>
        <w:ind w:firstLine="420"/>
        <w:rPr>
          <w:rFonts w:ascii="Garamond" w:hAnsi="Garamond" w:cs="Times New Roman"/>
          <w:sz w:val="24"/>
          <w:szCs w:val="24"/>
          <w:lang w:val="en-GB"/>
        </w:rPr>
      </w:pPr>
      <w:r>
        <w:rPr>
          <w:rFonts w:ascii="Garamond" w:hAnsi="Garamond" w:cs="Times New Roman"/>
          <w:sz w:val="24"/>
          <w:szCs w:val="24"/>
          <w:lang w:val="en-GB"/>
        </w:rPr>
        <w:t>We constructed three subsamples based on dining group size: (1) groups with three or more customers (N = 4,862,384), (2) groups with four or more customers (N = 2,198,116), and (3) groups with five or more customers (N = 978,343). We applied High-Dimensional Fixed Effects (HDFE) estimation to each subsample.</w:t>
      </w:r>
    </w:p>
    <w:p w14:paraId="230F6AB7">
      <w:pPr>
        <w:spacing w:line="480" w:lineRule="auto"/>
        <w:ind w:firstLine="420"/>
        <w:rPr>
          <w:rFonts w:ascii="Garamond" w:hAnsi="Garamond" w:cs="Times New Roman"/>
          <w:sz w:val="24"/>
          <w:szCs w:val="24"/>
          <w:lang w:val="en-GB"/>
        </w:rPr>
      </w:pPr>
      <w:r>
        <w:rPr>
          <w:rFonts w:ascii="Garamond" w:hAnsi="Garamond" w:cs="Times New Roman"/>
          <w:sz w:val="24"/>
          <w:szCs w:val="24"/>
          <w:lang w:val="en-GB"/>
        </w:rPr>
        <w:t>The subsample results indicate that an increase of 1 degree Celsius in the daily maximum temperature leads to a decrease in meal diversity (IDDS) by 0.0007 (</w:t>
      </w:r>
      <w:r>
        <w:rPr>
          <w:rFonts w:ascii="Garamond" w:hAnsi="Garamond" w:cs="Times New Roman"/>
          <w:i/>
          <w:iCs/>
          <w:sz w:val="24"/>
          <w:szCs w:val="24"/>
          <w:lang w:val="en-GB"/>
        </w:rPr>
        <w:t>P</w:t>
      </w:r>
      <w:r>
        <w:rPr>
          <w:rFonts w:ascii="Garamond" w:hAnsi="Garamond" w:cs="Times New Roman"/>
          <w:sz w:val="24"/>
          <w:szCs w:val="24"/>
          <w:lang w:val="en-GB"/>
        </w:rPr>
        <w:t xml:space="preserve"> = 0.011), 0.0010 (</w:t>
      </w:r>
      <w:r>
        <w:rPr>
          <w:rFonts w:ascii="Garamond" w:hAnsi="Garamond" w:cs="Times New Roman"/>
          <w:i/>
          <w:iCs/>
          <w:sz w:val="24"/>
          <w:szCs w:val="24"/>
          <w:lang w:val="en-GB"/>
        </w:rPr>
        <w:t>P</w:t>
      </w:r>
      <w:r>
        <w:rPr>
          <w:rFonts w:ascii="Garamond" w:hAnsi="Garamond" w:cs="Times New Roman"/>
          <w:sz w:val="24"/>
          <w:szCs w:val="24"/>
          <w:lang w:val="en-GB"/>
        </w:rPr>
        <w:t xml:space="preserve"> = 0.017), and 0.0009 (</w:t>
      </w:r>
      <w:r>
        <w:rPr>
          <w:rFonts w:ascii="Garamond" w:hAnsi="Garamond" w:cs="Times New Roman"/>
          <w:i/>
          <w:iCs/>
          <w:sz w:val="24"/>
          <w:szCs w:val="24"/>
          <w:lang w:val="en-GB"/>
        </w:rPr>
        <w:t>P</w:t>
      </w:r>
      <w:r>
        <w:rPr>
          <w:rFonts w:ascii="Garamond" w:hAnsi="Garamond" w:cs="Times New Roman"/>
          <w:sz w:val="24"/>
          <w:szCs w:val="24"/>
          <w:lang w:val="en-GB"/>
        </w:rPr>
        <w:t xml:space="preserve"> = 0.024) for groups with at least 3, 4, and 5 customers, respectively. Similarly, a 1 degree Celsius increase in the daily maximum temperature is associated with an increase in meal imbalance (DQD) by 0.011 (</w:t>
      </w:r>
      <w:r>
        <w:rPr>
          <w:rFonts w:ascii="Garamond" w:hAnsi="Garamond" w:cs="Times New Roman"/>
          <w:i/>
          <w:iCs/>
          <w:sz w:val="24"/>
          <w:szCs w:val="24"/>
          <w:lang w:val="en-GB"/>
        </w:rPr>
        <w:t>P</w:t>
      </w:r>
      <w:r>
        <w:rPr>
          <w:rFonts w:ascii="Garamond" w:hAnsi="Garamond" w:cs="Times New Roman"/>
          <w:sz w:val="24"/>
          <w:szCs w:val="24"/>
          <w:lang w:val="en-GB"/>
        </w:rPr>
        <w:t xml:space="preserve"> = 0.005), 0.013 (P = 0.007), and 0.014 (</w:t>
      </w:r>
      <w:r>
        <w:rPr>
          <w:rFonts w:ascii="Garamond" w:hAnsi="Garamond" w:cs="Times New Roman"/>
          <w:i/>
          <w:iCs/>
          <w:sz w:val="24"/>
          <w:szCs w:val="24"/>
          <w:lang w:val="en-GB"/>
        </w:rPr>
        <w:t>P</w:t>
      </w:r>
      <w:r>
        <w:rPr>
          <w:rFonts w:ascii="Garamond" w:hAnsi="Garamond" w:cs="Times New Roman"/>
          <w:sz w:val="24"/>
          <w:szCs w:val="24"/>
          <w:lang w:val="en-GB"/>
        </w:rPr>
        <w:t xml:space="preserve"> = 0.010) for the same group sizes. For meal quality (HEI-2015), a 1 degree Celsius increase corresponds to a decrease of 0.008 (</w:t>
      </w:r>
      <w:r>
        <w:rPr>
          <w:rFonts w:ascii="Garamond" w:hAnsi="Garamond" w:cs="Times New Roman"/>
          <w:i/>
          <w:iCs/>
          <w:sz w:val="24"/>
          <w:szCs w:val="24"/>
          <w:lang w:val="en-GB"/>
        </w:rPr>
        <w:t>P</w:t>
      </w:r>
      <w:r>
        <w:rPr>
          <w:rFonts w:ascii="Garamond" w:hAnsi="Garamond" w:cs="Times New Roman"/>
          <w:sz w:val="24"/>
          <w:szCs w:val="24"/>
          <w:lang w:val="en-GB"/>
        </w:rPr>
        <w:t xml:space="preserve"> = 0.004), 0.011 (</w:t>
      </w:r>
      <w:r>
        <w:rPr>
          <w:rFonts w:ascii="Garamond" w:hAnsi="Garamond" w:cs="Times New Roman"/>
          <w:i/>
          <w:iCs/>
          <w:sz w:val="24"/>
          <w:szCs w:val="24"/>
          <w:lang w:val="en-GB"/>
        </w:rPr>
        <w:t>P</w:t>
      </w:r>
      <w:r>
        <w:rPr>
          <w:rFonts w:ascii="Garamond" w:hAnsi="Garamond" w:cs="Times New Roman"/>
          <w:sz w:val="24"/>
          <w:szCs w:val="24"/>
          <w:lang w:val="en-GB"/>
        </w:rPr>
        <w:t xml:space="preserve"> = 0.012), and 0.010 (</w:t>
      </w:r>
      <w:r>
        <w:rPr>
          <w:rFonts w:ascii="Garamond" w:hAnsi="Garamond" w:cs="Times New Roman"/>
          <w:i/>
          <w:iCs/>
          <w:sz w:val="24"/>
          <w:szCs w:val="24"/>
          <w:lang w:val="en-GB"/>
        </w:rPr>
        <w:t>P</w:t>
      </w:r>
      <w:r>
        <w:rPr>
          <w:rFonts w:ascii="Garamond" w:hAnsi="Garamond" w:cs="Times New Roman"/>
          <w:sz w:val="24"/>
          <w:szCs w:val="24"/>
          <w:lang w:val="en-GB"/>
        </w:rPr>
        <w:t xml:space="preserve"> = 0.018) in HEI-2015 scores for groups of 3 or more, 4 or more, and 5 or more customers, respectively.</w:t>
      </w:r>
    </w:p>
    <w:p w14:paraId="0055D2A9">
      <w:pPr>
        <w:spacing w:line="480" w:lineRule="auto"/>
        <w:rPr>
          <w:rFonts w:ascii="Garamond" w:hAnsi="Garamond" w:cs="Times New Roman"/>
          <w:sz w:val="24"/>
          <w:szCs w:val="24"/>
          <w:lang w:val="en-GB"/>
        </w:rPr>
      </w:pPr>
      <w:r>
        <w:rPr>
          <w:rFonts w:ascii="Garamond" w:hAnsi="Garamond" w:cs="Times New Roman"/>
          <w:sz w:val="24"/>
          <w:szCs w:val="24"/>
          <w:lang w:val="en-GB"/>
        </w:rPr>
        <w:t>These consistent findings across subsamples highlight the significant impact of temperature on diet quality, further supporting our main conclusions.</w:t>
      </w:r>
    </w:p>
    <w:p w14:paraId="339DE4EA">
      <w:pPr>
        <w:spacing w:line="480" w:lineRule="auto"/>
        <w:ind w:firstLine="420"/>
        <w:rPr>
          <w:rFonts w:ascii="Garamond" w:hAnsi="Garamond" w:cs="Times New Roman"/>
          <w:sz w:val="24"/>
          <w:szCs w:val="24"/>
          <w:lang w:val="en-GB"/>
        </w:rPr>
      </w:pPr>
    </w:p>
    <w:p w14:paraId="4E6342A2">
      <w:pPr>
        <w:spacing w:line="480" w:lineRule="auto"/>
        <w:jc w:val="left"/>
        <w:rPr>
          <w:rFonts w:ascii="Garamond" w:hAnsi="Garamond" w:cs="Times New Roman"/>
          <w:b/>
          <w:bCs/>
          <w:sz w:val="24"/>
          <w:szCs w:val="24"/>
        </w:rPr>
      </w:pPr>
      <w:r>
        <w:rPr>
          <w:rFonts w:ascii="Garamond" w:hAnsi="Garamond" w:cs="Times New Roman"/>
          <w:b/>
          <w:bCs/>
          <w:sz w:val="24"/>
          <w:szCs w:val="24"/>
        </w:rPr>
        <w:t xml:space="preserve">Table </w:t>
      </w:r>
      <w:r>
        <w:rPr>
          <w:rFonts w:hint="eastAsia" w:ascii="Garamond" w:hAnsi="Garamond" w:cs="Times New Roman"/>
          <w:b/>
          <w:bCs/>
          <w:sz w:val="24"/>
          <w:szCs w:val="24"/>
        </w:rPr>
        <w:t>2</w:t>
      </w:r>
      <w:r>
        <w:rPr>
          <w:rFonts w:ascii="Garamond" w:hAnsi="Garamond" w:cs="Times New Roman"/>
          <w:b/>
          <w:bCs/>
          <w:sz w:val="24"/>
          <w:szCs w:val="24"/>
        </w:rPr>
        <w:t xml:space="preserve">. The impact of climate change on diet quality by customer group size </w:t>
      </w:r>
    </w:p>
    <w:tbl>
      <w:tblPr>
        <w:tblStyle w:val="9"/>
        <w:tblW w:w="5000" w:type="pct"/>
        <w:tblInd w:w="0" w:type="dxa"/>
        <w:tblLayout w:type="autofit"/>
        <w:tblCellMar>
          <w:top w:w="0" w:type="dxa"/>
          <w:left w:w="108" w:type="dxa"/>
          <w:bottom w:w="0" w:type="dxa"/>
          <w:right w:w="108" w:type="dxa"/>
        </w:tblCellMar>
      </w:tblPr>
      <w:tblGrid>
        <w:gridCol w:w="2173"/>
        <w:gridCol w:w="1357"/>
        <w:gridCol w:w="1172"/>
        <w:gridCol w:w="1543"/>
        <w:gridCol w:w="1172"/>
        <w:gridCol w:w="1372"/>
        <w:gridCol w:w="1173"/>
      </w:tblGrid>
      <w:tr w14:paraId="4BDC0A2E">
        <w:tblPrEx>
          <w:tblCellMar>
            <w:top w:w="0" w:type="dxa"/>
            <w:left w:w="108" w:type="dxa"/>
            <w:bottom w:w="0" w:type="dxa"/>
            <w:right w:w="108" w:type="dxa"/>
          </w:tblCellMar>
        </w:tblPrEx>
        <w:trPr>
          <w:trHeight w:val="1460" w:hRule="atLeast"/>
        </w:trPr>
        <w:tc>
          <w:tcPr>
            <w:tcW w:w="1100" w:type="pct"/>
            <w:tcBorders>
              <w:top w:val="double" w:color="auto" w:sz="6" w:space="0"/>
              <w:left w:val="nil"/>
              <w:bottom w:val="single" w:color="auto" w:sz="4" w:space="0"/>
              <w:right w:val="nil"/>
            </w:tcBorders>
            <w:shd w:val="clear" w:color="auto" w:fill="auto"/>
            <w:vAlign w:val="center"/>
          </w:tcPr>
          <w:p w14:paraId="76EFED28">
            <w:pPr>
              <w:widowControl/>
              <w:jc w:val="center"/>
              <w:rPr>
                <w:rFonts w:ascii="Garamond" w:hAnsi="Garamond" w:eastAsia="Times New Roman" w:cs="Times New Roman"/>
                <w:b/>
                <w:bCs/>
                <w:color w:val="000000"/>
                <w:sz w:val="24"/>
                <w:szCs w:val="24"/>
              </w:rPr>
            </w:pPr>
            <w:r>
              <w:rPr>
                <w:rFonts w:ascii="Garamond" w:hAnsi="Garamond" w:eastAsia="Times New Roman" w:cs="Times New Roman"/>
                <w:b/>
                <w:bCs/>
                <w:color w:val="000000"/>
                <w:sz w:val="24"/>
                <w:szCs w:val="24"/>
              </w:rPr>
              <w:t>Customer Group Size</w:t>
            </w:r>
          </w:p>
        </w:tc>
        <w:tc>
          <w:tcPr>
            <w:tcW w:w="691" w:type="pct"/>
            <w:tcBorders>
              <w:top w:val="double" w:color="auto" w:sz="6" w:space="0"/>
              <w:left w:val="nil"/>
              <w:bottom w:val="single" w:color="auto" w:sz="4" w:space="0"/>
              <w:right w:val="nil"/>
            </w:tcBorders>
            <w:shd w:val="clear" w:color="auto" w:fill="auto"/>
            <w:vAlign w:val="center"/>
          </w:tcPr>
          <w:p w14:paraId="7A7DD924">
            <w:pPr>
              <w:widowControl/>
              <w:jc w:val="center"/>
              <w:rPr>
                <w:rFonts w:ascii="Garamond" w:hAnsi="Garamond" w:eastAsia="Times New Roman" w:cs="Times New Roman"/>
                <w:b/>
                <w:bCs/>
                <w:color w:val="000000"/>
                <w:sz w:val="24"/>
                <w:szCs w:val="24"/>
              </w:rPr>
            </w:pPr>
            <w:r>
              <w:rPr>
                <w:rFonts w:ascii="Garamond" w:hAnsi="Garamond" w:eastAsia="Times New Roman" w:cs="Times New Roman"/>
                <w:b/>
                <w:bCs/>
                <w:color w:val="000000"/>
                <w:sz w:val="24"/>
                <w:szCs w:val="24"/>
              </w:rPr>
              <w:t>Impact on Meal Diversity (IDDS)</w:t>
            </w:r>
          </w:p>
        </w:tc>
        <w:tc>
          <w:tcPr>
            <w:tcW w:w="598" w:type="pct"/>
            <w:tcBorders>
              <w:top w:val="double" w:color="auto" w:sz="6" w:space="0"/>
              <w:left w:val="nil"/>
              <w:bottom w:val="single" w:color="auto" w:sz="4" w:space="0"/>
              <w:right w:val="nil"/>
            </w:tcBorders>
            <w:shd w:val="clear" w:color="auto" w:fill="auto"/>
            <w:vAlign w:val="center"/>
          </w:tcPr>
          <w:p w14:paraId="71CCBDC5">
            <w:pPr>
              <w:widowControl/>
              <w:jc w:val="center"/>
              <w:rPr>
                <w:rFonts w:ascii="Garamond" w:hAnsi="Garamond" w:eastAsia="Times New Roman" w:cs="Times New Roman"/>
                <w:b/>
                <w:bCs/>
                <w:color w:val="000000"/>
                <w:sz w:val="24"/>
                <w:szCs w:val="24"/>
              </w:rPr>
            </w:pPr>
            <w:r>
              <w:rPr>
                <w:rFonts w:ascii="Garamond" w:hAnsi="Garamond" w:eastAsia="Times New Roman" w:cs="Times New Roman"/>
                <w:b/>
                <w:bCs/>
                <w:color w:val="000000"/>
                <w:sz w:val="24"/>
                <w:szCs w:val="24"/>
              </w:rPr>
              <w:t>P-Value</w:t>
            </w:r>
          </w:p>
        </w:tc>
        <w:tc>
          <w:tcPr>
            <w:tcW w:w="784" w:type="pct"/>
            <w:tcBorders>
              <w:top w:val="double" w:color="auto" w:sz="6" w:space="0"/>
              <w:left w:val="nil"/>
              <w:bottom w:val="single" w:color="auto" w:sz="4" w:space="0"/>
              <w:right w:val="nil"/>
            </w:tcBorders>
            <w:shd w:val="clear" w:color="auto" w:fill="auto"/>
            <w:vAlign w:val="center"/>
          </w:tcPr>
          <w:p w14:paraId="7C18254A">
            <w:pPr>
              <w:widowControl/>
              <w:jc w:val="center"/>
              <w:rPr>
                <w:rFonts w:ascii="Garamond" w:hAnsi="Garamond" w:eastAsia="Times New Roman" w:cs="Times New Roman"/>
                <w:b/>
                <w:bCs/>
                <w:color w:val="000000"/>
                <w:sz w:val="24"/>
                <w:szCs w:val="24"/>
              </w:rPr>
            </w:pPr>
            <w:r>
              <w:rPr>
                <w:rFonts w:ascii="Garamond" w:hAnsi="Garamond" w:eastAsia="Times New Roman" w:cs="Times New Roman"/>
                <w:b/>
                <w:bCs/>
                <w:color w:val="000000"/>
                <w:sz w:val="24"/>
                <w:szCs w:val="24"/>
              </w:rPr>
              <w:t>Impact on Meal Imbalance (DQD)</w:t>
            </w:r>
          </w:p>
        </w:tc>
        <w:tc>
          <w:tcPr>
            <w:tcW w:w="598" w:type="pct"/>
            <w:tcBorders>
              <w:top w:val="double" w:color="auto" w:sz="6" w:space="0"/>
              <w:left w:val="nil"/>
              <w:bottom w:val="single" w:color="auto" w:sz="4" w:space="0"/>
              <w:right w:val="nil"/>
            </w:tcBorders>
            <w:shd w:val="clear" w:color="auto" w:fill="auto"/>
            <w:vAlign w:val="center"/>
          </w:tcPr>
          <w:p w14:paraId="7E561A2D">
            <w:pPr>
              <w:widowControl/>
              <w:jc w:val="center"/>
              <w:rPr>
                <w:rFonts w:ascii="Garamond" w:hAnsi="Garamond" w:eastAsia="Times New Roman" w:cs="Times New Roman"/>
                <w:b/>
                <w:bCs/>
                <w:color w:val="000000"/>
                <w:sz w:val="24"/>
                <w:szCs w:val="24"/>
              </w:rPr>
            </w:pPr>
            <w:r>
              <w:rPr>
                <w:rFonts w:ascii="Garamond" w:hAnsi="Garamond" w:eastAsia="Times New Roman" w:cs="Times New Roman"/>
                <w:b/>
                <w:bCs/>
                <w:color w:val="000000"/>
                <w:sz w:val="24"/>
                <w:szCs w:val="24"/>
              </w:rPr>
              <w:t>P-Value</w:t>
            </w:r>
          </w:p>
        </w:tc>
        <w:tc>
          <w:tcPr>
            <w:tcW w:w="629" w:type="pct"/>
            <w:tcBorders>
              <w:top w:val="double" w:color="auto" w:sz="6" w:space="0"/>
              <w:left w:val="nil"/>
              <w:bottom w:val="single" w:color="auto" w:sz="4" w:space="0"/>
              <w:right w:val="nil"/>
            </w:tcBorders>
            <w:shd w:val="clear" w:color="auto" w:fill="auto"/>
            <w:vAlign w:val="center"/>
          </w:tcPr>
          <w:p w14:paraId="0A7343FF">
            <w:pPr>
              <w:widowControl/>
              <w:jc w:val="center"/>
              <w:rPr>
                <w:rFonts w:ascii="Garamond" w:hAnsi="Garamond" w:eastAsia="Times New Roman" w:cs="Times New Roman"/>
                <w:b/>
                <w:bCs/>
                <w:color w:val="000000"/>
                <w:sz w:val="24"/>
                <w:szCs w:val="24"/>
              </w:rPr>
            </w:pPr>
            <w:r>
              <w:rPr>
                <w:rFonts w:ascii="Garamond" w:hAnsi="Garamond" w:eastAsia="Times New Roman" w:cs="Times New Roman"/>
                <w:b/>
                <w:bCs/>
                <w:color w:val="000000"/>
                <w:sz w:val="24"/>
                <w:szCs w:val="24"/>
              </w:rPr>
              <w:t>Impact on Meal Quality (HEI-2015)</w:t>
            </w:r>
          </w:p>
        </w:tc>
        <w:tc>
          <w:tcPr>
            <w:tcW w:w="598" w:type="pct"/>
            <w:tcBorders>
              <w:top w:val="double" w:color="auto" w:sz="6" w:space="0"/>
              <w:left w:val="nil"/>
              <w:bottom w:val="single" w:color="auto" w:sz="4" w:space="0"/>
              <w:right w:val="nil"/>
            </w:tcBorders>
            <w:shd w:val="clear" w:color="auto" w:fill="auto"/>
            <w:vAlign w:val="center"/>
          </w:tcPr>
          <w:p w14:paraId="1EC4FEE4">
            <w:pPr>
              <w:widowControl/>
              <w:jc w:val="center"/>
              <w:rPr>
                <w:rFonts w:ascii="Garamond" w:hAnsi="Garamond" w:eastAsia="Times New Roman" w:cs="Times New Roman"/>
                <w:b/>
                <w:bCs/>
                <w:color w:val="000000"/>
                <w:sz w:val="24"/>
                <w:szCs w:val="24"/>
              </w:rPr>
            </w:pPr>
            <w:r>
              <w:rPr>
                <w:rFonts w:ascii="Garamond" w:hAnsi="Garamond" w:eastAsia="Times New Roman" w:cs="Times New Roman"/>
                <w:b/>
                <w:bCs/>
                <w:color w:val="000000"/>
                <w:sz w:val="24"/>
                <w:szCs w:val="24"/>
              </w:rPr>
              <w:t>P-Value</w:t>
            </w:r>
          </w:p>
        </w:tc>
      </w:tr>
      <w:tr w14:paraId="71A783DE">
        <w:tblPrEx>
          <w:tblCellMar>
            <w:top w:w="0" w:type="dxa"/>
            <w:left w:w="108" w:type="dxa"/>
            <w:bottom w:w="0" w:type="dxa"/>
            <w:right w:w="108" w:type="dxa"/>
          </w:tblCellMar>
        </w:tblPrEx>
        <w:trPr>
          <w:trHeight w:val="580" w:hRule="atLeast"/>
        </w:trPr>
        <w:tc>
          <w:tcPr>
            <w:tcW w:w="1100" w:type="pct"/>
            <w:tcBorders>
              <w:top w:val="nil"/>
              <w:left w:val="nil"/>
              <w:bottom w:val="nil"/>
              <w:right w:val="nil"/>
            </w:tcBorders>
            <w:shd w:val="clear" w:color="auto" w:fill="auto"/>
            <w:vAlign w:val="center"/>
          </w:tcPr>
          <w:p w14:paraId="54A2E5D1">
            <w:pPr>
              <w:widowControl/>
              <w:jc w:val="left"/>
              <w:rPr>
                <w:rFonts w:ascii="Garamond" w:hAnsi="Garamond" w:eastAsia="Times New Roman" w:cs="Times New Roman"/>
                <w:color w:val="000000"/>
                <w:sz w:val="24"/>
                <w:szCs w:val="24"/>
              </w:rPr>
            </w:pPr>
            <w:r>
              <w:rPr>
                <w:rFonts w:ascii="Garamond" w:hAnsi="Garamond" w:eastAsia="Times New Roman" w:cs="Times New Roman"/>
                <w:color w:val="000000"/>
                <w:sz w:val="24"/>
                <w:szCs w:val="24"/>
              </w:rPr>
              <w:t xml:space="preserve">At least 3 </w:t>
            </w:r>
          </w:p>
          <w:p w14:paraId="180D78E4">
            <w:pPr>
              <w:widowControl/>
              <w:jc w:val="left"/>
              <w:rPr>
                <w:rFonts w:ascii="Garamond" w:hAnsi="Garamond" w:eastAsia="Times New Roman" w:cs="Times New Roman"/>
                <w:color w:val="000000"/>
                <w:sz w:val="24"/>
                <w:szCs w:val="24"/>
              </w:rPr>
            </w:pPr>
            <w:r>
              <w:rPr>
                <w:rFonts w:ascii="Garamond" w:hAnsi="Garamond" w:eastAsia="Times New Roman" w:cs="Times New Roman"/>
                <w:color w:val="000000"/>
                <w:sz w:val="24"/>
                <w:szCs w:val="24"/>
              </w:rPr>
              <w:t>(N = 4,862,384)</w:t>
            </w:r>
          </w:p>
        </w:tc>
        <w:tc>
          <w:tcPr>
            <w:tcW w:w="691" w:type="pct"/>
            <w:tcBorders>
              <w:top w:val="nil"/>
              <w:left w:val="nil"/>
              <w:bottom w:val="nil"/>
              <w:right w:val="nil"/>
            </w:tcBorders>
            <w:shd w:val="clear" w:color="auto" w:fill="auto"/>
            <w:vAlign w:val="center"/>
          </w:tcPr>
          <w:p w14:paraId="3455A34A">
            <w:pPr>
              <w:widowControl/>
              <w:jc w:val="center"/>
              <w:rPr>
                <w:rFonts w:ascii="Garamond" w:hAnsi="Garamond" w:eastAsia="Times New Roman" w:cs="Times New Roman"/>
                <w:color w:val="000000"/>
                <w:sz w:val="24"/>
                <w:szCs w:val="24"/>
              </w:rPr>
            </w:pPr>
            <w:r>
              <w:rPr>
                <w:rFonts w:ascii="Garamond" w:hAnsi="Garamond" w:eastAsia="Times New Roman" w:cs="Times New Roman"/>
                <w:color w:val="000000"/>
                <w:sz w:val="24"/>
                <w:szCs w:val="24"/>
              </w:rPr>
              <w:t>-0.0007</w:t>
            </w:r>
          </w:p>
        </w:tc>
        <w:tc>
          <w:tcPr>
            <w:tcW w:w="598" w:type="pct"/>
            <w:tcBorders>
              <w:top w:val="nil"/>
              <w:left w:val="nil"/>
              <w:bottom w:val="nil"/>
              <w:right w:val="nil"/>
            </w:tcBorders>
            <w:shd w:val="clear" w:color="auto" w:fill="auto"/>
            <w:vAlign w:val="center"/>
          </w:tcPr>
          <w:p w14:paraId="496793AD">
            <w:pPr>
              <w:widowControl/>
              <w:jc w:val="center"/>
              <w:rPr>
                <w:rFonts w:ascii="Garamond" w:hAnsi="Garamond" w:eastAsia="Times New Roman" w:cs="Times New Roman"/>
                <w:color w:val="000000"/>
                <w:sz w:val="24"/>
                <w:szCs w:val="24"/>
              </w:rPr>
            </w:pPr>
            <w:r>
              <w:rPr>
                <w:rFonts w:ascii="Garamond" w:hAnsi="Garamond" w:eastAsia="Times New Roman" w:cs="Times New Roman"/>
                <w:color w:val="000000"/>
                <w:sz w:val="24"/>
                <w:szCs w:val="24"/>
              </w:rPr>
              <w:t>0.011</w:t>
            </w:r>
          </w:p>
        </w:tc>
        <w:tc>
          <w:tcPr>
            <w:tcW w:w="784" w:type="pct"/>
            <w:tcBorders>
              <w:top w:val="nil"/>
              <w:left w:val="nil"/>
              <w:bottom w:val="nil"/>
              <w:right w:val="nil"/>
            </w:tcBorders>
            <w:shd w:val="clear" w:color="auto" w:fill="auto"/>
            <w:vAlign w:val="center"/>
          </w:tcPr>
          <w:p w14:paraId="737A5A20">
            <w:pPr>
              <w:widowControl/>
              <w:jc w:val="center"/>
              <w:rPr>
                <w:rFonts w:ascii="Garamond" w:hAnsi="Garamond" w:eastAsia="Times New Roman" w:cs="Times New Roman"/>
                <w:color w:val="000000"/>
                <w:sz w:val="24"/>
                <w:szCs w:val="24"/>
              </w:rPr>
            </w:pPr>
            <w:r>
              <w:rPr>
                <w:rFonts w:ascii="Garamond" w:hAnsi="Garamond" w:eastAsia="Times New Roman" w:cs="Times New Roman"/>
                <w:color w:val="000000"/>
                <w:sz w:val="24"/>
                <w:szCs w:val="24"/>
              </w:rPr>
              <w:t>0.011</w:t>
            </w:r>
          </w:p>
        </w:tc>
        <w:tc>
          <w:tcPr>
            <w:tcW w:w="598" w:type="pct"/>
            <w:tcBorders>
              <w:top w:val="nil"/>
              <w:left w:val="nil"/>
              <w:bottom w:val="nil"/>
              <w:right w:val="nil"/>
            </w:tcBorders>
            <w:shd w:val="clear" w:color="auto" w:fill="auto"/>
            <w:vAlign w:val="center"/>
          </w:tcPr>
          <w:p w14:paraId="78087DAE">
            <w:pPr>
              <w:widowControl/>
              <w:jc w:val="center"/>
              <w:rPr>
                <w:rFonts w:ascii="Garamond" w:hAnsi="Garamond" w:eastAsia="Times New Roman" w:cs="Times New Roman"/>
                <w:color w:val="000000"/>
                <w:sz w:val="24"/>
                <w:szCs w:val="24"/>
              </w:rPr>
            </w:pPr>
            <w:r>
              <w:rPr>
                <w:rFonts w:ascii="Garamond" w:hAnsi="Garamond" w:eastAsia="Times New Roman" w:cs="Times New Roman"/>
                <w:color w:val="000000"/>
                <w:sz w:val="24"/>
                <w:szCs w:val="24"/>
              </w:rPr>
              <w:t>0.005</w:t>
            </w:r>
          </w:p>
        </w:tc>
        <w:tc>
          <w:tcPr>
            <w:tcW w:w="629" w:type="pct"/>
            <w:tcBorders>
              <w:top w:val="nil"/>
              <w:left w:val="nil"/>
              <w:bottom w:val="nil"/>
              <w:right w:val="nil"/>
            </w:tcBorders>
            <w:shd w:val="clear" w:color="auto" w:fill="auto"/>
            <w:vAlign w:val="center"/>
          </w:tcPr>
          <w:p w14:paraId="7ABBBCCC">
            <w:pPr>
              <w:widowControl/>
              <w:jc w:val="center"/>
              <w:rPr>
                <w:rFonts w:ascii="Garamond" w:hAnsi="Garamond" w:eastAsia="Times New Roman" w:cs="Times New Roman"/>
                <w:color w:val="000000"/>
                <w:sz w:val="24"/>
                <w:szCs w:val="24"/>
              </w:rPr>
            </w:pPr>
            <w:r>
              <w:rPr>
                <w:rFonts w:ascii="Garamond" w:hAnsi="Garamond" w:eastAsia="Times New Roman" w:cs="Times New Roman"/>
                <w:color w:val="000000"/>
                <w:sz w:val="24"/>
                <w:szCs w:val="24"/>
              </w:rPr>
              <w:t>-0.008</w:t>
            </w:r>
          </w:p>
        </w:tc>
        <w:tc>
          <w:tcPr>
            <w:tcW w:w="598" w:type="pct"/>
            <w:tcBorders>
              <w:top w:val="nil"/>
              <w:left w:val="nil"/>
              <w:bottom w:val="nil"/>
              <w:right w:val="nil"/>
            </w:tcBorders>
            <w:shd w:val="clear" w:color="auto" w:fill="auto"/>
            <w:vAlign w:val="center"/>
          </w:tcPr>
          <w:p w14:paraId="18B8BC0C">
            <w:pPr>
              <w:widowControl/>
              <w:jc w:val="center"/>
              <w:rPr>
                <w:rFonts w:ascii="Garamond" w:hAnsi="Garamond" w:eastAsia="Times New Roman" w:cs="Times New Roman"/>
                <w:color w:val="000000"/>
                <w:sz w:val="24"/>
                <w:szCs w:val="24"/>
              </w:rPr>
            </w:pPr>
            <w:r>
              <w:rPr>
                <w:rFonts w:ascii="Garamond" w:hAnsi="Garamond" w:eastAsia="Times New Roman" w:cs="Times New Roman"/>
                <w:color w:val="000000"/>
                <w:sz w:val="24"/>
                <w:szCs w:val="24"/>
              </w:rPr>
              <w:t>0.004</w:t>
            </w:r>
          </w:p>
        </w:tc>
      </w:tr>
      <w:tr w14:paraId="7E5DDF12">
        <w:tblPrEx>
          <w:tblCellMar>
            <w:top w:w="0" w:type="dxa"/>
            <w:left w:w="108" w:type="dxa"/>
            <w:bottom w:w="0" w:type="dxa"/>
            <w:right w:w="108" w:type="dxa"/>
          </w:tblCellMar>
        </w:tblPrEx>
        <w:trPr>
          <w:trHeight w:val="580" w:hRule="atLeast"/>
        </w:trPr>
        <w:tc>
          <w:tcPr>
            <w:tcW w:w="1100" w:type="pct"/>
            <w:tcBorders>
              <w:top w:val="nil"/>
              <w:left w:val="nil"/>
              <w:bottom w:val="nil"/>
              <w:right w:val="nil"/>
            </w:tcBorders>
            <w:shd w:val="clear" w:color="auto" w:fill="auto"/>
            <w:vAlign w:val="center"/>
          </w:tcPr>
          <w:p w14:paraId="0357170A">
            <w:pPr>
              <w:widowControl/>
              <w:jc w:val="left"/>
              <w:rPr>
                <w:rFonts w:ascii="Garamond" w:hAnsi="Garamond" w:eastAsia="Times New Roman" w:cs="Times New Roman"/>
                <w:color w:val="000000"/>
                <w:sz w:val="24"/>
                <w:szCs w:val="24"/>
              </w:rPr>
            </w:pPr>
            <w:r>
              <w:rPr>
                <w:rFonts w:ascii="Garamond" w:hAnsi="Garamond" w:eastAsia="Times New Roman" w:cs="Times New Roman"/>
                <w:color w:val="000000"/>
                <w:sz w:val="24"/>
                <w:szCs w:val="24"/>
              </w:rPr>
              <w:t xml:space="preserve">At least 4 </w:t>
            </w:r>
          </w:p>
          <w:p w14:paraId="2E3D2D9F">
            <w:pPr>
              <w:widowControl/>
              <w:jc w:val="left"/>
              <w:rPr>
                <w:rFonts w:ascii="Garamond" w:hAnsi="Garamond" w:eastAsia="Times New Roman" w:cs="Times New Roman"/>
                <w:color w:val="000000"/>
                <w:sz w:val="24"/>
                <w:szCs w:val="24"/>
              </w:rPr>
            </w:pPr>
            <w:r>
              <w:rPr>
                <w:rFonts w:ascii="Garamond" w:hAnsi="Garamond" w:eastAsia="Times New Roman" w:cs="Times New Roman"/>
                <w:color w:val="000000"/>
                <w:sz w:val="24"/>
                <w:szCs w:val="24"/>
              </w:rPr>
              <w:t>(N = 2,198,116)</w:t>
            </w:r>
          </w:p>
        </w:tc>
        <w:tc>
          <w:tcPr>
            <w:tcW w:w="691" w:type="pct"/>
            <w:tcBorders>
              <w:top w:val="nil"/>
              <w:left w:val="nil"/>
              <w:bottom w:val="nil"/>
              <w:right w:val="nil"/>
            </w:tcBorders>
            <w:shd w:val="clear" w:color="auto" w:fill="auto"/>
            <w:vAlign w:val="center"/>
          </w:tcPr>
          <w:p w14:paraId="288D0089">
            <w:pPr>
              <w:widowControl/>
              <w:jc w:val="center"/>
              <w:rPr>
                <w:rFonts w:ascii="Garamond" w:hAnsi="Garamond" w:eastAsia="Times New Roman" w:cs="Times New Roman"/>
                <w:color w:val="000000"/>
                <w:sz w:val="24"/>
                <w:szCs w:val="24"/>
              </w:rPr>
            </w:pPr>
            <w:r>
              <w:rPr>
                <w:rFonts w:ascii="Garamond" w:hAnsi="Garamond" w:eastAsia="Times New Roman" w:cs="Times New Roman"/>
                <w:color w:val="000000"/>
                <w:sz w:val="24"/>
                <w:szCs w:val="24"/>
              </w:rPr>
              <w:t>-0.001</w:t>
            </w:r>
          </w:p>
        </w:tc>
        <w:tc>
          <w:tcPr>
            <w:tcW w:w="598" w:type="pct"/>
            <w:tcBorders>
              <w:top w:val="nil"/>
              <w:left w:val="nil"/>
              <w:bottom w:val="nil"/>
              <w:right w:val="nil"/>
            </w:tcBorders>
            <w:shd w:val="clear" w:color="auto" w:fill="auto"/>
            <w:vAlign w:val="center"/>
          </w:tcPr>
          <w:p w14:paraId="7A0F929E">
            <w:pPr>
              <w:widowControl/>
              <w:jc w:val="center"/>
              <w:rPr>
                <w:rFonts w:ascii="Garamond" w:hAnsi="Garamond" w:eastAsia="Times New Roman" w:cs="Times New Roman"/>
                <w:color w:val="000000"/>
                <w:sz w:val="24"/>
                <w:szCs w:val="24"/>
              </w:rPr>
            </w:pPr>
            <w:r>
              <w:rPr>
                <w:rFonts w:ascii="Garamond" w:hAnsi="Garamond" w:eastAsia="Times New Roman" w:cs="Times New Roman"/>
                <w:color w:val="000000"/>
                <w:sz w:val="24"/>
                <w:szCs w:val="24"/>
              </w:rPr>
              <w:t>0.017</w:t>
            </w:r>
          </w:p>
        </w:tc>
        <w:tc>
          <w:tcPr>
            <w:tcW w:w="784" w:type="pct"/>
            <w:tcBorders>
              <w:top w:val="nil"/>
              <w:left w:val="nil"/>
              <w:bottom w:val="nil"/>
              <w:right w:val="nil"/>
            </w:tcBorders>
            <w:shd w:val="clear" w:color="auto" w:fill="auto"/>
            <w:vAlign w:val="center"/>
          </w:tcPr>
          <w:p w14:paraId="4C556579">
            <w:pPr>
              <w:widowControl/>
              <w:jc w:val="center"/>
              <w:rPr>
                <w:rFonts w:ascii="Garamond" w:hAnsi="Garamond" w:eastAsia="Times New Roman" w:cs="Times New Roman"/>
                <w:color w:val="000000"/>
                <w:sz w:val="24"/>
                <w:szCs w:val="24"/>
              </w:rPr>
            </w:pPr>
            <w:r>
              <w:rPr>
                <w:rFonts w:ascii="Garamond" w:hAnsi="Garamond" w:eastAsia="Times New Roman" w:cs="Times New Roman"/>
                <w:color w:val="000000"/>
                <w:sz w:val="24"/>
                <w:szCs w:val="24"/>
              </w:rPr>
              <w:t>0.013</w:t>
            </w:r>
          </w:p>
        </w:tc>
        <w:tc>
          <w:tcPr>
            <w:tcW w:w="598" w:type="pct"/>
            <w:tcBorders>
              <w:top w:val="nil"/>
              <w:left w:val="nil"/>
              <w:bottom w:val="nil"/>
              <w:right w:val="nil"/>
            </w:tcBorders>
            <w:shd w:val="clear" w:color="auto" w:fill="auto"/>
            <w:vAlign w:val="center"/>
          </w:tcPr>
          <w:p w14:paraId="74CCAF2A">
            <w:pPr>
              <w:widowControl/>
              <w:jc w:val="center"/>
              <w:rPr>
                <w:rFonts w:ascii="Garamond" w:hAnsi="Garamond" w:eastAsia="Times New Roman" w:cs="Times New Roman"/>
                <w:color w:val="000000"/>
                <w:sz w:val="24"/>
                <w:szCs w:val="24"/>
              </w:rPr>
            </w:pPr>
            <w:r>
              <w:rPr>
                <w:rFonts w:ascii="Garamond" w:hAnsi="Garamond" w:eastAsia="Times New Roman" w:cs="Times New Roman"/>
                <w:color w:val="000000"/>
                <w:sz w:val="24"/>
                <w:szCs w:val="24"/>
              </w:rPr>
              <w:t>0.007</w:t>
            </w:r>
          </w:p>
        </w:tc>
        <w:tc>
          <w:tcPr>
            <w:tcW w:w="629" w:type="pct"/>
            <w:tcBorders>
              <w:top w:val="nil"/>
              <w:left w:val="nil"/>
              <w:bottom w:val="nil"/>
              <w:right w:val="nil"/>
            </w:tcBorders>
            <w:shd w:val="clear" w:color="auto" w:fill="auto"/>
            <w:vAlign w:val="center"/>
          </w:tcPr>
          <w:p w14:paraId="5B621C88">
            <w:pPr>
              <w:widowControl/>
              <w:jc w:val="center"/>
              <w:rPr>
                <w:rFonts w:ascii="Garamond" w:hAnsi="Garamond" w:eastAsia="Times New Roman" w:cs="Times New Roman"/>
                <w:color w:val="000000"/>
                <w:sz w:val="24"/>
                <w:szCs w:val="24"/>
              </w:rPr>
            </w:pPr>
            <w:r>
              <w:rPr>
                <w:rFonts w:ascii="Garamond" w:hAnsi="Garamond" w:eastAsia="Times New Roman" w:cs="Times New Roman"/>
                <w:color w:val="000000"/>
                <w:sz w:val="24"/>
                <w:szCs w:val="24"/>
              </w:rPr>
              <w:t>-0.011</w:t>
            </w:r>
          </w:p>
        </w:tc>
        <w:tc>
          <w:tcPr>
            <w:tcW w:w="598" w:type="pct"/>
            <w:tcBorders>
              <w:top w:val="nil"/>
              <w:left w:val="nil"/>
              <w:bottom w:val="nil"/>
              <w:right w:val="nil"/>
            </w:tcBorders>
            <w:shd w:val="clear" w:color="auto" w:fill="auto"/>
            <w:vAlign w:val="center"/>
          </w:tcPr>
          <w:p w14:paraId="1D2FE0BE">
            <w:pPr>
              <w:widowControl/>
              <w:jc w:val="center"/>
              <w:rPr>
                <w:rFonts w:ascii="Garamond" w:hAnsi="Garamond" w:eastAsia="Times New Roman" w:cs="Times New Roman"/>
                <w:color w:val="000000"/>
                <w:sz w:val="24"/>
                <w:szCs w:val="24"/>
              </w:rPr>
            </w:pPr>
            <w:r>
              <w:rPr>
                <w:rFonts w:ascii="Garamond" w:hAnsi="Garamond" w:eastAsia="Times New Roman" w:cs="Times New Roman"/>
                <w:color w:val="000000"/>
                <w:sz w:val="24"/>
                <w:szCs w:val="24"/>
              </w:rPr>
              <w:t>0.012</w:t>
            </w:r>
          </w:p>
        </w:tc>
      </w:tr>
      <w:tr w14:paraId="6F919E5F">
        <w:tblPrEx>
          <w:tblCellMar>
            <w:top w:w="0" w:type="dxa"/>
            <w:left w:w="108" w:type="dxa"/>
            <w:bottom w:w="0" w:type="dxa"/>
            <w:right w:w="108" w:type="dxa"/>
          </w:tblCellMar>
        </w:tblPrEx>
        <w:trPr>
          <w:trHeight w:val="580" w:hRule="atLeast"/>
        </w:trPr>
        <w:tc>
          <w:tcPr>
            <w:tcW w:w="1100" w:type="pct"/>
            <w:tcBorders>
              <w:top w:val="nil"/>
              <w:left w:val="nil"/>
              <w:bottom w:val="single" w:color="auto" w:sz="4" w:space="0"/>
              <w:right w:val="nil"/>
            </w:tcBorders>
            <w:shd w:val="clear" w:color="auto" w:fill="auto"/>
            <w:vAlign w:val="center"/>
          </w:tcPr>
          <w:p w14:paraId="1BBAC15F">
            <w:pPr>
              <w:widowControl/>
              <w:jc w:val="left"/>
              <w:rPr>
                <w:rFonts w:ascii="Garamond" w:hAnsi="Garamond" w:eastAsia="Times New Roman" w:cs="Times New Roman"/>
                <w:color w:val="000000"/>
                <w:sz w:val="24"/>
                <w:szCs w:val="24"/>
              </w:rPr>
            </w:pPr>
            <w:r>
              <w:rPr>
                <w:rFonts w:ascii="Garamond" w:hAnsi="Garamond" w:eastAsia="Times New Roman" w:cs="Times New Roman"/>
                <w:color w:val="000000"/>
                <w:sz w:val="24"/>
                <w:szCs w:val="24"/>
              </w:rPr>
              <w:t xml:space="preserve">At least 5 </w:t>
            </w:r>
          </w:p>
          <w:p w14:paraId="3FF65A4D">
            <w:pPr>
              <w:widowControl/>
              <w:jc w:val="left"/>
              <w:rPr>
                <w:rFonts w:ascii="Garamond" w:hAnsi="Garamond" w:eastAsia="Times New Roman" w:cs="Times New Roman"/>
                <w:color w:val="000000"/>
                <w:sz w:val="24"/>
                <w:szCs w:val="24"/>
              </w:rPr>
            </w:pPr>
            <w:r>
              <w:rPr>
                <w:rFonts w:ascii="Garamond" w:hAnsi="Garamond" w:eastAsia="Times New Roman" w:cs="Times New Roman"/>
                <w:color w:val="000000"/>
                <w:sz w:val="24"/>
                <w:szCs w:val="24"/>
              </w:rPr>
              <w:t>(N = 978,343)</w:t>
            </w:r>
          </w:p>
        </w:tc>
        <w:tc>
          <w:tcPr>
            <w:tcW w:w="691" w:type="pct"/>
            <w:tcBorders>
              <w:top w:val="nil"/>
              <w:left w:val="nil"/>
              <w:bottom w:val="single" w:color="auto" w:sz="4" w:space="0"/>
              <w:right w:val="nil"/>
            </w:tcBorders>
            <w:shd w:val="clear" w:color="auto" w:fill="auto"/>
            <w:vAlign w:val="center"/>
          </w:tcPr>
          <w:p w14:paraId="30F62F5F">
            <w:pPr>
              <w:widowControl/>
              <w:jc w:val="center"/>
              <w:rPr>
                <w:rFonts w:ascii="Garamond" w:hAnsi="Garamond" w:eastAsia="Times New Roman" w:cs="Times New Roman"/>
                <w:color w:val="000000"/>
                <w:sz w:val="24"/>
                <w:szCs w:val="24"/>
              </w:rPr>
            </w:pPr>
            <w:r>
              <w:rPr>
                <w:rFonts w:ascii="Garamond" w:hAnsi="Garamond" w:eastAsia="Times New Roman" w:cs="Times New Roman"/>
                <w:color w:val="000000"/>
                <w:sz w:val="24"/>
                <w:szCs w:val="24"/>
              </w:rPr>
              <w:t>-0.0009</w:t>
            </w:r>
          </w:p>
        </w:tc>
        <w:tc>
          <w:tcPr>
            <w:tcW w:w="598" w:type="pct"/>
            <w:tcBorders>
              <w:top w:val="nil"/>
              <w:left w:val="nil"/>
              <w:bottom w:val="single" w:color="auto" w:sz="4" w:space="0"/>
              <w:right w:val="nil"/>
            </w:tcBorders>
            <w:shd w:val="clear" w:color="auto" w:fill="auto"/>
            <w:vAlign w:val="center"/>
          </w:tcPr>
          <w:p w14:paraId="619E2861">
            <w:pPr>
              <w:widowControl/>
              <w:jc w:val="center"/>
              <w:rPr>
                <w:rFonts w:ascii="Garamond" w:hAnsi="Garamond" w:eastAsia="Times New Roman" w:cs="Times New Roman"/>
                <w:color w:val="000000"/>
                <w:sz w:val="24"/>
                <w:szCs w:val="24"/>
              </w:rPr>
            </w:pPr>
            <w:r>
              <w:rPr>
                <w:rFonts w:ascii="Garamond" w:hAnsi="Garamond" w:eastAsia="Times New Roman" w:cs="Times New Roman"/>
                <w:color w:val="000000"/>
                <w:sz w:val="24"/>
                <w:szCs w:val="24"/>
              </w:rPr>
              <w:t>0.024</w:t>
            </w:r>
          </w:p>
        </w:tc>
        <w:tc>
          <w:tcPr>
            <w:tcW w:w="784" w:type="pct"/>
            <w:tcBorders>
              <w:top w:val="nil"/>
              <w:left w:val="nil"/>
              <w:bottom w:val="single" w:color="auto" w:sz="4" w:space="0"/>
              <w:right w:val="nil"/>
            </w:tcBorders>
            <w:shd w:val="clear" w:color="auto" w:fill="auto"/>
            <w:vAlign w:val="center"/>
          </w:tcPr>
          <w:p w14:paraId="28CD468B">
            <w:pPr>
              <w:widowControl/>
              <w:jc w:val="center"/>
              <w:rPr>
                <w:rFonts w:ascii="Garamond" w:hAnsi="Garamond" w:eastAsia="Times New Roman" w:cs="Times New Roman"/>
                <w:color w:val="000000"/>
                <w:sz w:val="24"/>
                <w:szCs w:val="24"/>
              </w:rPr>
            </w:pPr>
            <w:r>
              <w:rPr>
                <w:rFonts w:ascii="Garamond" w:hAnsi="Garamond" w:eastAsia="Times New Roman" w:cs="Times New Roman"/>
                <w:color w:val="000000"/>
                <w:sz w:val="24"/>
                <w:szCs w:val="24"/>
              </w:rPr>
              <w:t>0.014</w:t>
            </w:r>
          </w:p>
        </w:tc>
        <w:tc>
          <w:tcPr>
            <w:tcW w:w="598" w:type="pct"/>
            <w:tcBorders>
              <w:top w:val="nil"/>
              <w:left w:val="nil"/>
              <w:bottom w:val="single" w:color="auto" w:sz="4" w:space="0"/>
              <w:right w:val="nil"/>
            </w:tcBorders>
            <w:shd w:val="clear" w:color="auto" w:fill="auto"/>
            <w:vAlign w:val="center"/>
          </w:tcPr>
          <w:p w14:paraId="0DA634A4">
            <w:pPr>
              <w:widowControl/>
              <w:jc w:val="center"/>
              <w:rPr>
                <w:rFonts w:ascii="Garamond" w:hAnsi="Garamond" w:eastAsia="Times New Roman" w:cs="Times New Roman"/>
                <w:color w:val="000000"/>
                <w:sz w:val="24"/>
                <w:szCs w:val="24"/>
              </w:rPr>
            </w:pPr>
            <w:r>
              <w:rPr>
                <w:rFonts w:ascii="Garamond" w:hAnsi="Garamond" w:eastAsia="Times New Roman" w:cs="Times New Roman"/>
                <w:color w:val="000000"/>
                <w:sz w:val="24"/>
                <w:szCs w:val="24"/>
              </w:rPr>
              <w:t>0.010</w:t>
            </w:r>
          </w:p>
        </w:tc>
        <w:tc>
          <w:tcPr>
            <w:tcW w:w="629" w:type="pct"/>
            <w:tcBorders>
              <w:top w:val="nil"/>
              <w:left w:val="nil"/>
              <w:bottom w:val="single" w:color="auto" w:sz="4" w:space="0"/>
              <w:right w:val="nil"/>
            </w:tcBorders>
            <w:shd w:val="clear" w:color="auto" w:fill="auto"/>
            <w:vAlign w:val="center"/>
          </w:tcPr>
          <w:p w14:paraId="6C5F6C65">
            <w:pPr>
              <w:widowControl/>
              <w:jc w:val="center"/>
              <w:rPr>
                <w:rFonts w:ascii="Garamond" w:hAnsi="Garamond" w:eastAsia="Times New Roman" w:cs="Times New Roman"/>
                <w:color w:val="000000"/>
                <w:sz w:val="24"/>
                <w:szCs w:val="24"/>
              </w:rPr>
            </w:pPr>
            <w:r>
              <w:rPr>
                <w:rFonts w:ascii="Garamond" w:hAnsi="Garamond" w:eastAsia="Times New Roman" w:cs="Times New Roman"/>
                <w:color w:val="000000"/>
                <w:sz w:val="24"/>
                <w:szCs w:val="24"/>
              </w:rPr>
              <w:t>-0.010</w:t>
            </w:r>
          </w:p>
        </w:tc>
        <w:tc>
          <w:tcPr>
            <w:tcW w:w="598" w:type="pct"/>
            <w:tcBorders>
              <w:top w:val="nil"/>
              <w:left w:val="nil"/>
              <w:bottom w:val="single" w:color="auto" w:sz="4" w:space="0"/>
              <w:right w:val="nil"/>
            </w:tcBorders>
            <w:shd w:val="clear" w:color="auto" w:fill="auto"/>
            <w:vAlign w:val="center"/>
          </w:tcPr>
          <w:p w14:paraId="0AB71BB3">
            <w:pPr>
              <w:widowControl/>
              <w:jc w:val="center"/>
              <w:rPr>
                <w:rFonts w:ascii="Garamond" w:hAnsi="Garamond" w:eastAsia="Times New Roman" w:cs="Times New Roman"/>
                <w:color w:val="000000"/>
                <w:sz w:val="24"/>
                <w:szCs w:val="24"/>
              </w:rPr>
            </w:pPr>
            <w:r>
              <w:rPr>
                <w:rFonts w:ascii="Garamond" w:hAnsi="Garamond" w:eastAsia="Times New Roman" w:cs="Times New Roman"/>
                <w:color w:val="000000"/>
                <w:sz w:val="24"/>
                <w:szCs w:val="24"/>
              </w:rPr>
              <w:t>0.018</w:t>
            </w:r>
          </w:p>
        </w:tc>
      </w:tr>
    </w:tbl>
    <w:p w14:paraId="66AD3E3C">
      <w:pPr>
        <w:spacing w:line="480" w:lineRule="auto"/>
        <w:jc w:val="left"/>
        <w:rPr>
          <w:rFonts w:ascii="Garamond" w:hAnsi="Garamond" w:cs="Times New Roman"/>
          <w:sz w:val="24"/>
          <w:szCs w:val="24"/>
        </w:rPr>
      </w:pPr>
    </w:p>
    <w:p w14:paraId="0781B9A2">
      <w:pPr>
        <w:spacing w:line="480" w:lineRule="auto"/>
        <w:jc w:val="left"/>
        <w:rPr>
          <w:rFonts w:ascii="Garamond" w:hAnsi="Garamond" w:cs="Times New Roman"/>
          <w:b/>
          <w:bCs/>
          <w:sz w:val="28"/>
          <w:szCs w:val="28"/>
        </w:rPr>
      </w:pPr>
      <w:r>
        <w:rPr>
          <w:rFonts w:hint="eastAsia" w:ascii="Garamond" w:hAnsi="Garamond" w:cs="Times New Roman"/>
          <w:b/>
          <w:bCs/>
          <w:sz w:val="28"/>
          <w:szCs w:val="28"/>
        </w:rPr>
        <w:t>4</w:t>
      </w:r>
      <w:r>
        <w:rPr>
          <w:rFonts w:ascii="Garamond" w:hAnsi="Garamond" w:cs="Times New Roman"/>
          <w:b/>
          <w:bCs/>
          <w:sz w:val="28"/>
          <w:szCs w:val="28"/>
        </w:rPr>
        <w:t>. Policy implications</w:t>
      </w:r>
    </w:p>
    <w:p w14:paraId="32F25A49">
      <w:pPr>
        <w:spacing w:line="480" w:lineRule="auto"/>
        <w:rPr>
          <w:rFonts w:ascii="Garamond" w:hAnsi="Garamond" w:cs="Times New Roman"/>
          <w:sz w:val="24"/>
          <w:szCs w:val="24"/>
        </w:rPr>
      </w:pPr>
      <w:r>
        <w:rPr>
          <w:rFonts w:ascii="Garamond" w:hAnsi="Garamond" w:cs="Times New Roman"/>
          <w:sz w:val="24"/>
          <w:szCs w:val="24"/>
        </w:rPr>
        <w:t>This study has important policy implications that can guide decision-making in addressing the challenges posed by climate change and its impact on food systems. Firstly, policymakers should recognize the need to consider the consumer side of climate change in addition to the commonly focused areas of the food supply side, land use, water resources, and migration. Understanding how changes in consumer food preferences, driven by climate change, can influence the entire food supply chain is crucial. Therefore, adopting a comprehensive approach that integrates consumer behavior considerations into climate change mitigation and adaptation strategies is recommended. This approach will enable policymakers to develop effective measures that account for the consumer’s role in shaping food systems.</w:t>
      </w:r>
    </w:p>
    <w:p w14:paraId="06C12B07">
      <w:pPr>
        <w:spacing w:line="480" w:lineRule="auto"/>
        <w:ind w:firstLine="420"/>
        <w:rPr>
          <w:rFonts w:ascii="Garamond" w:hAnsi="Garamond" w:cs="Times New Roman"/>
          <w:sz w:val="24"/>
          <w:szCs w:val="24"/>
        </w:rPr>
      </w:pPr>
      <w:r>
        <w:rPr>
          <w:rFonts w:ascii="Garamond" w:hAnsi="Garamond" w:cs="Times New Roman"/>
          <w:sz w:val="24"/>
          <w:szCs w:val="24"/>
        </w:rPr>
        <w:t>Secondly, mitigating climate change can have positive implications for both environmental sustainability and public health. By addressing climate change and its underlying causes, such as greenhouse gas emissions from the food system, policymakers can contribute to improved diets and reduced prevalence of diet-related diseases. Recognizing the interconnectedness of climate change, food systems, and public health is essential. Policymakers should prioritize climate action as a means to enhance diet quality and promote healthier lifestyles, thereby fostering better overall health outcomes for the population.</w:t>
      </w:r>
    </w:p>
    <w:p w14:paraId="1B422E08">
      <w:pPr>
        <w:spacing w:line="480" w:lineRule="auto"/>
        <w:ind w:firstLine="420"/>
        <w:rPr>
          <w:rFonts w:ascii="Garamond" w:hAnsi="Garamond" w:cs="Times New Roman"/>
          <w:sz w:val="24"/>
          <w:szCs w:val="24"/>
        </w:rPr>
      </w:pPr>
      <w:r>
        <w:rPr>
          <w:rFonts w:ascii="Garamond" w:hAnsi="Garamond" w:cs="Times New Roman"/>
          <w:sz w:val="24"/>
          <w:szCs w:val="24"/>
        </w:rPr>
        <w:t>Finally, given the complex and interdependent nature of climate change and food systems, it is recommended to develop policy tools that monitor countries’ climate change performance and the effectiveness of climate change policies. These tools should incorporate additional factors related to diets and nutrition to provide a more comprehensive assessment of the impact of climate change on food systems. By considering the nutritional aspects of food systems, policymakers can make informed decisions and identify areas for intervention that promote sustainable and healthy diets.</w:t>
      </w:r>
    </w:p>
    <w:p w14:paraId="28240390">
      <w:pPr>
        <w:spacing w:line="480" w:lineRule="auto"/>
        <w:ind w:firstLine="420"/>
        <w:rPr>
          <w:rFonts w:ascii="Garamond" w:hAnsi="Garamond" w:cs="Times New Roman"/>
          <w:sz w:val="24"/>
          <w:szCs w:val="24"/>
        </w:rPr>
      </w:pPr>
      <w:r>
        <w:rPr>
          <w:rFonts w:ascii="Garamond" w:hAnsi="Garamond" w:cs="Times New Roman"/>
          <w:sz w:val="24"/>
          <w:szCs w:val="24"/>
        </w:rPr>
        <w:t>In summary, this study underscores the significance of examining the consumer dimension of climate change and the potential co-benefits of climate action for both environmental sustainability and public health. It suggests that policymakers can explore a comprehensive approach that incorporates dietary and nutritional factors alongside climate action considerations. Such an approach may involve developing monitoring tools and strategies to effectively address the influence of climate change on food systems while simultaneously promoting better dietary behaviors and health outcomes.</w:t>
      </w:r>
    </w:p>
    <w:p w14:paraId="68294DE7">
      <w:pPr>
        <w:spacing w:line="480" w:lineRule="auto"/>
        <w:ind w:firstLine="420"/>
        <w:rPr>
          <w:rFonts w:ascii="Garamond" w:hAnsi="Garamond" w:cs="Times New Roman"/>
          <w:sz w:val="24"/>
          <w:szCs w:val="24"/>
        </w:rPr>
      </w:pPr>
    </w:p>
    <w:p w14:paraId="79C1CAE0">
      <w:pPr>
        <w:spacing w:line="480" w:lineRule="auto"/>
        <w:jc w:val="left"/>
        <w:rPr>
          <w:rFonts w:ascii="Garamond" w:hAnsi="Garamond" w:cs="Times New Roman"/>
          <w:b/>
          <w:bCs/>
          <w:sz w:val="28"/>
          <w:szCs w:val="28"/>
        </w:rPr>
      </w:pPr>
      <w:r>
        <w:rPr>
          <w:rFonts w:hint="eastAsia" w:ascii="Garamond" w:hAnsi="Garamond" w:cs="Times New Roman"/>
          <w:b/>
          <w:bCs/>
          <w:sz w:val="28"/>
          <w:szCs w:val="28"/>
        </w:rPr>
        <w:t>5</w:t>
      </w:r>
      <w:r>
        <w:rPr>
          <w:rFonts w:ascii="Garamond" w:hAnsi="Garamond" w:cs="Times New Roman"/>
          <w:b/>
          <w:bCs/>
          <w:sz w:val="28"/>
          <w:szCs w:val="28"/>
        </w:rPr>
        <w:t xml:space="preserve">. </w:t>
      </w:r>
      <w:r>
        <w:rPr>
          <w:rFonts w:hint="eastAsia" w:ascii="Garamond" w:hAnsi="Garamond" w:cs="Times New Roman"/>
          <w:b/>
          <w:bCs/>
          <w:sz w:val="28"/>
          <w:szCs w:val="28"/>
        </w:rPr>
        <w:t>Conclusion</w:t>
      </w:r>
    </w:p>
    <w:p w14:paraId="4236443F">
      <w:pPr>
        <w:spacing w:line="480" w:lineRule="auto"/>
        <w:ind w:firstLine="480" w:firstLineChars="200"/>
        <w:rPr>
          <w:rFonts w:ascii="Garamond" w:hAnsi="Garamond" w:cs="Times New Roman"/>
          <w:sz w:val="24"/>
          <w:szCs w:val="24"/>
        </w:rPr>
      </w:pPr>
      <w:r>
        <w:rPr>
          <w:rFonts w:ascii="Garamond" w:hAnsi="Garamond" w:cs="Times New Roman"/>
          <w:sz w:val="24"/>
          <w:szCs w:val="24"/>
        </w:rPr>
        <w:t>The present paper sheds new light on a crucial aspect of climate change, namely its impact on meal quality and consumer behavior. Specifically, the study focuses on how climate factors such as hot temperatures and heat waves can have a detrimental effect on meal diversity, balance, and quality among Chinese consumers, and how this can ultimately impact the nutritional quality of food supply chains and consumer health.</w:t>
      </w:r>
    </w:p>
    <w:p w14:paraId="027AFB04">
      <w:pPr>
        <w:spacing w:line="480" w:lineRule="auto"/>
        <w:rPr>
          <w:rFonts w:ascii="Garamond" w:hAnsi="Garamond" w:cs="Times New Roman"/>
          <w:sz w:val="24"/>
          <w:szCs w:val="24"/>
        </w:rPr>
      </w:pPr>
      <w:r>
        <w:rPr>
          <w:rFonts w:ascii="Garamond" w:hAnsi="Garamond" w:cs="Times New Roman"/>
          <w:sz w:val="24"/>
          <w:szCs w:val="24"/>
        </w:rPr>
        <w:tab/>
      </w:r>
      <w:r>
        <w:rPr>
          <w:rFonts w:hint="eastAsia" w:ascii="Garamond" w:hAnsi="Garamond" w:cs="Times New Roman"/>
          <w:sz w:val="24"/>
          <w:szCs w:val="24"/>
        </w:rPr>
        <w:t xml:space="preserve">    </w:t>
      </w:r>
      <w:r>
        <w:rPr>
          <w:rFonts w:ascii="Garamond" w:hAnsi="Garamond" w:cs="Times New Roman"/>
          <w:sz w:val="24"/>
          <w:szCs w:val="24"/>
        </w:rPr>
        <w:t xml:space="preserve">While the effect size associated with a 1-degree Celsius rise in daily maximum temperature may appear modest when considered in isolation, it is paramount to contextualize these findings within a broader framework. Indeed, seemingly small effects can accumulate both over time and across populations, potentially yielding substantial consequences for dietary patterns and, consequently, health outcomes. This is particularly salient when contemplating the enduring and cumulative impact of such exposures. As an illustrative example, in June 2022, the Chinese government released the National Climate Change Adaptation Strategy 2035. This strategy delineates enduring principles and action plans aimed at enhancing climate adaptation within the domains of health and the food system. The findings presented in the current study can provide valuable insights into the intricate interplay between climate change and dietary choices, which hold significant ramifications for health and the food system. </w:t>
      </w:r>
    </w:p>
    <w:p w14:paraId="5A39542B">
      <w:pPr>
        <w:spacing w:line="480" w:lineRule="auto"/>
        <w:ind w:firstLine="480" w:firstLineChars="200"/>
        <w:rPr>
          <w:rFonts w:ascii="Garamond" w:hAnsi="Garamond" w:cs="Times New Roman"/>
          <w:sz w:val="24"/>
          <w:szCs w:val="24"/>
        </w:rPr>
      </w:pPr>
      <w:r>
        <w:rPr>
          <w:rFonts w:ascii="Garamond" w:hAnsi="Garamond" w:cs="Times New Roman"/>
          <w:sz w:val="24"/>
          <w:szCs w:val="24"/>
        </w:rPr>
        <w:tab/>
      </w:r>
      <w:r>
        <w:rPr>
          <w:rFonts w:ascii="Garamond" w:hAnsi="Garamond" w:cs="Times New Roman"/>
          <w:sz w:val="24"/>
          <w:szCs w:val="24"/>
        </w:rPr>
        <w:t>One of the key contributions of this paper is its emphasis on the need to examine the impact on the consumer side of climate change, which complements the extensive literature on the food supply side, land use, water resources, and migration. By highlighting how changes in consumer food preferences due to climate change can affect the entire supply chain, the paper underscores the importance of adopting a more comprehensive approach to understanding the impact of climate change on agro-food systems.</w:t>
      </w:r>
      <w:r>
        <w:rPr>
          <w:rFonts w:ascii="Garamond" w:hAnsi="Garamond" w:cs="Times New Roman"/>
          <w:sz w:val="24"/>
          <w:szCs w:val="24"/>
        </w:rPr>
        <w:tab/>
      </w:r>
      <w:r>
        <w:rPr>
          <w:rFonts w:hint="eastAsia" w:ascii="Garamond" w:hAnsi="Garamond" w:cs="Times New Roman"/>
          <w:sz w:val="24"/>
          <w:szCs w:val="24"/>
        </w:rPr>
        <w:t xml:space="preserve">   </w:t>
      </w:r>
    </w:p>
    <w:p w14:paraId="73316008">
      <w:pPr>
        <w:spacing w:line="480" w:lineRule="auto"/>
        <w:ind w:firstLine="480" w:firstLineChars="200"/>
        <w:rPr>
          <w:rFonts w:ascii="Garamond" w:hAnsi="Garamond" w:cs="Times New Roman"/>
          <w:sz w:val="24"/>
          <w:szCs w:val="24"/>
        </w:rPr>
      </w:pPr>
      <w:r>
        <w:rPr>
          <w:rFonts w:ascii="Garamond" w:hAnsi="Garamond" w:cs="Times New Roman"/>
          <w:sz w:val="24"/>
          <w:szCs w:val="24"/>
        </w:rPr>
        <w:tab/>
      </w:r>
      <w:r>
        <w:rPr>
          <w:rFonts w:ascii="Garamond" w:hAnsi="Garamond" w:cs="Times New Roman"/>
          <w:sz w:val="24"/>
          <w:szCs w:val="24"/>
        </w:rPr>
        <w:t>Furthermore, the study suggests that mitigating climate change could have a positive impact not only on environmental sustainability but also on public health by improving diets and reducing the burden of diet-related diseases. This finding underscores the importance of climate action and its potential to benefit society in numerous ways.</w:t>
      </w:r>
    </w:p>
    <w:p w14:paraId="7A276BC3">
      <w:pPr>
        <w:spacing w:line="480" w:lineRule="auto"/>
        <w:ind w:firstLine="420"/>
        <w:rPr>
          <w:rFonts w:ascii="Garamond" w:hAnsi="Garamond" w:cs="Times New Roman"/>
          <w:sz w:val="24"/>
          <w:szCs w:val="24"/>
        </w:rPr>
      </w:pPr>
      <w:r>
        <w:rPr>
          <w:rFonts w:ascii="Garamond" w:hAnsi="Garamond" w:cs="Times New Roman"/>
          <w:sz w:val="24"/>
          <w:szCs w:val="24"/>
        </w:rPr>
        <w:t>Nevertheless, the paper also acknowledges that the long-term effects of heat waves and extreme temperatures on food consumption diversity, nutritional content, and negative health consequences are still uncertain, as consumers and producers may adopt mitigation strategies and adapt to these changes. Future research using large-scale datasets spanning several years could help identify the long-term effects of climate change on dietary outcomes and investigate the fundamental behavioral responses of both consumers and producers to climate change.</w:t>
      </w:r>
    </w:p>
    <w:p w14:paraId="6B9DE09C">
      <w:pPr>
        <w:spacing w:line="480" w:lineRule="auto"/>
        <w:ind w:firstLine="420"/>
        <w:rPr>
          <w:rFonts w:ascii="Garamond" w:hAnsi="Garamond" w:cs="Times New Roman"/>
          <w:sz w:val="24"/>
          <w:szCs w:val="24"/>
        </w:rPr>
      </w:pPr>
      <w:r>
        <w:rPr>
          <w:rFonts w:ascii="Garamond" w:hAnsi="Garamond" w:cs="Times New Roman"/>
          <w:sz w:val="24"/>
          <w:szCs w:val="24"/>
        </w:rPr>
        <w:t>Some limitations and caveats of this study provide opportunities for future research. Firstly, our analysis is confined to a specific restaurant chain, rendering it not fully representative of the expansive Chinese food market and potentially limiting the generalizability of our findings to a broader population. The applicability of our results beyond our sample, comprising urban Chinese consumers, remains a subject for future empirical exploration. Secondly, our dataset lacks essential consumer demographic information, such as gender and income, since it is primarily derived from sales transactions. The inclusion of demographic data in future studies could enable an examination of dietary responses to climate changes across diverse demographic groups, thus offering a more nuanced understanding of the impact. Lastly, our analysis focuses on the association between climate change and dietary outcome, where the utilization of fixed effects cannot entirely address the complexities of self-selection and evolving preferences over time. These nuanced dynamics warrant further investigation in future research endeavors.</w:t>
      </w:r>
    </w:p>
    <w:p w14:paraId="28AD7321">
      <w:pPr>
        <w:spacing w:line="480" w:lineRule="auto"/>
        <w:ind w:firstLine="420"/>
        <w:rPr>
          <w:rFonts w:ascii="Garamond" w:hAnsi="Garamond" w:cs="Times New Roman"/>
          <w:sz w:val="24"/>
          <w:szCs w:val="24"/>
        </w:rPr>
      </w:pPr>
      <w:r>
        <w:rPr>
          <w:rFonts w:ascii="Garamond" w:hAnsi="Garamond" w:cs="Times New Roman"/>
          <w:sz w:val="24"/>
          <w:szCs w:val="24"/>
        </w:rPr>
        <w:t>In summary, this paper highlights a crucial aspect of climate change that has received relatively less attention in the literature, namely its direct impact on dietary outcomes and consumer behavior. The findings underscore the need for a more comprehensive approach to understanding the impact of climate change on food systems, particularly consumers’ behavior and diet quality, and the importance of climate action for public health and environmental sustainability.</w:t>
      </w:r>
    </w:p>
    <w:p w14:paraId="2FBBDDAF">
      <w:pPr>
        <w:spacing w:line="480" w:lineRule="auto"/>
        <w:ind w:firstLine="420"/>
        <w:rPr>
          <w:rFonts w:ascii="Garamond" w:hAnsi="Garamond" w:cs="Times New Roman"/>
          <w:sz w:val="24"/>
          <w:szCs w:val="24"/>
        </w:rPr>
      </w:pPr>
    </w:p>
    <w:p w14:paraId="43768AC5">
      <w:pPr>
        <w:widowControl/>
        <w:rPr>
          <w:rFonts w:ascii="Garamond" w:hAnsi="Garamond" w:cs="Times New Roman"/>
          <w:b/>
          <w:bCs/>
          <w:sz w:val="24"/>
          <w:szCs w:val="24"/>
        </w:rPr>
      </w:pPr>
      <w:r>
        <w:rPr>
          <w:rFonts w:ascii="Garamond" w:hAnsi="Garamond" w:cs="Times New Roman"/>
          <w:b/>
          <w:bCs/>
          <w:sz w:val="24"/>
          <w:szCs w:val="24"/>
        </w:rPr>
        <w:br w:type="page"/>
      </w:r>
    </w:p>
    <w:p w14:paraId="1974A627">
      <w:pPr>
        <w:spacing w:line="480" w:lineRule="auto"/>
        <w:jc w:val="left"/>
        <w:rPr>
          <w:rFonts w:ascii="Garamond" w:hAnsi="Garamond" w:cs="Times New Roman"/>
          <w:b/>
          <w:bCs/>
          <w:sz w:val="28"/>
          <w:szCs w:val="28"/>
        </w:rPr>
      </w:pPr>
      <w:r>
        <w:rPr>
          <w:rFonts w:ascii="Garamond" w:hAnsi="Garamond" w:cs="Times New Roman"/>
          <w:b/>
          <w:bCs/>
          <w:sz w:val="28"/>
          <w:szCs w:val="28"/>
        </w:rPr>
        <w:t>References</w:t>
      </w:r>
    </w:p>
    <w:p w14:paraId="5539118A">
      <w:pPr>
        <w:pStyle w:val="18"/>
        <w:numPr>
          <w:ilvl w:val="0"/>
          <w:numId w:val="1"/>
        </w:numPr>
        <w:spacing w:line="360" w:lineRule="auto"/>
        <w:ind w:firstLineChars="0"/>
        <w:jc w:val="both"/>
        <w:rPr>
          <w:rFonts w:ascii="Garamond" w:hAnsi="Garamond" w:cs="Times New Roman"/>
          <w:color w:val="222222"/>
          <w:shd w:val="clear" w:color="auto" w:fill="FFFFFF"/>
        </w:rPr>
      </w:pPr>
      <w:r>
        <w:rPr>
          <w:rFonts w:ascii="Garamond" w:hAnsi="Garamond" w:cs="Times New Roman"/>
          <w:color w:val="222222"/>
          <w:shd w:val="clear" w:color="auto" w:fill="FFFFFF"/>
          <w:lang w:val="es-MX"/>
        </w:rPr>
        <w:t xml:space="preserve">Aragón FM, Oteiza, F &amp; Rud JP (2021) </w:t>
      </w:r>
      <w:r>
        <w:rPr>
          <w:rFonts w:ascii="Garamond" w:hAnsi="Garamond" w:cs="Times New Roman"/>
          <w:color w:val="222222"/>
          <w:shd w:val="clear" w:color="auto" w:fill="FFFFFF"/>
        </w:rPr>
        <w:t xml:space="preserve">Climate change and agriculture: subsistence farmers’ response to extreme heat. American Economic Journal: Economic Policy </w:t>
      </w:r>
      <w:r>
        <w:rPr>
          <w:rFonts w:ascii="Garamond" w:hAnsi="Garamond" w:cs="Times New Roman"/>
          <w:b/>
          <w:bCs/>
          <w:color w:val="222222"/>
          <w:shd w:val="clear" w:color="auto" w:fill="FFFFFF"/>
        </w:rPr>
        <w:t>13,</w:t>
      </w:r>
      <w:r>
        <w:rPr>
          <w:rFonts w:ascii="Garamond" w:hAnsi="Garamond" w:cs="Times New Roman"/>
          <w:color w:val="222222"/>
          <w:shd w:val="clear" w:color="auto" w:fill="FFFFFF"/>
        </w:rPr>
        <w:t xml:space="preserve"> 7, 1-35. </w:t>
      </w:r>
    </w:p>
    <w:p w14:paraId="116DCF3E">
      <w:pPr>
        <w:pStyle w:val="18"/>
        <w:numPr>
          <w:ilvl w:val="0"/>
          <w:numId w:val="1"/>
        </w:numPr>
        <w:spacing w:line="360" w:lineRule="auto"/>
        <w:ind w:firstLineChars="0"/>
        <w:jc w:val="both"/>
        <w:rPr>
          <w:rFonts w:ascii="Garamond" w:hAnsi="Garamond" w:cs="Times New Roman"/>
          <w:color w:val="222222"/>
          <w:shd w:val="clear" w:color="auto" w:fill="FFFFFF"/>
        </w:rPr>
      </w:pPr>
      <w:r>
        <w:rPr>
          <w:rFonts w:ascii="Garamond" w:hAnsi="Garamond" w:cs="Times New Roman"/>
          <w:color w:val="222222"/>
          <w:shd w:val="clear" w:color="auto" w:fill="FFFFFF"/>
        </w:rPr>
        <w:t>Baylis P (2020) Temperature and temperament: evidence from Twitter. Journal of Public Economics </w:t>
      </w:r>
      <w:r>
        <w:rPr>
          <w:rFonts w:ascii="Garamond" w:hAnsi="Garamond" w:cs="Times New Roman"/>
          <w:b/>
          <w:bCs/>
          <w:color w:val="222222"/>
          <w:shd w:val="clear" w:color="auto" w:fill="FFFFFF"/>
        </w:rPr>
        <w:t>184</w:t>
      </w:r>
      <w:r>
        <w:rPr>
          <w:rFonts w:ascii="Garamond" w:hAnsi="Garamond" w:cs="Times New Roman"/>
          <w:color w:val="222222"/>
          <w:shd w:val="clear" w:color="auto" w:fill="FFFFFF"/>
        </w:rPr>
        <w:t>, 104161.</w:t>
      </w:r>
    </w:p>
    <w:p w14:paraId="41F757F9">
      <w:pPr>
        <w:pStyle w:val="18"/>
        <w:numPr>
          <w:ilvl w:val="0"/>
          <w:numId w:val="1"/>
        </w:numPr>
        <w:spacing w:line="360" w:lineRule="auto"/>
        <w:ind w:firstLineChars="0"/>
        <w:jc w:val="both"/>
        <w:rPr>
          <w:rFonts w:ascii="Garamond" w:hAnsi="Garamond" w:cs="Times New Roman"/>
          <w:color w:val="222222"/>
          <w:shd w:val="clear" w:color="auto" w:fill="FFFFFF"/>
        </w:rPr>
      </w:pPr>
      <w:r>
        <w:rPr>
          <w:rFonts w:ascii="Garamond" w:hAnsi="Garamond" w:cs="Times New Roman"/>
          <w:color w:val="222222"/>
          <w:shd w:val="clear" w:color="auto" w:fill="FFFFFF"/>
        </w:rPr>
        <w:t xml:space="preserve">Burke M &amp; Emerick K (2016) Adaptation to climate change: evidence from US agriculture. American Economic Journal: Economic Policy </w:t>
      </w:r>
      <w:r>
        <w:rPr>
          <w:rFonts w:ascii="Garamond" w:hAnsi="Garamond" w:cs="Times New Roman"/>
          <w:b/>
          <w:bCs/>
          <w:color w:val="222222"/>
          <w:shd w:val="clear" w:color="auto" w:fill="FFFFFF"/>
        </w:rPr>
        <w:t>8</w:t>
      </w:r>
      <w:r>
        <w:rPr>
          <w:rFonts w:ascii="Garamond" w:hAnsi="Garamond" w:cs="Times New Roman"/>
          <w:color w:val="222222"/>
          <w:shd w:val="clear" w:color="auto" w:fill="FFFFFF"/>
        </w:rPr>
        <w:t>, 235-239.</w:t>
      </w:r>
    </w:p>
    <w:p w14:paraId="05A85B53">
      <w:pPr>
        <w:pStyle w:val="18"/>
        <w:numPr>
          <w:ilvl w:val="0"/>
          <w:numId w:val="1"/>
        </w:numPr>
        <w:spacing w:line="360" w:lineRule="auto"/>
        <w:ind w:firstLineChars="0"/>
        <w:jc w:val="both"/>
        <w:rPr>
          <w:rFonts w:ascii="Garamond" w:hAnsi="Garamond" w:cs="Times New Roman"/>
          <w:color w:val="222222"/>
          <w:shd w:val="clear" w:color="auto" w:fill="FFFFFF"/>
        </w:rPr>
      </w:pPr>
      <w:r>
        <w:rPr>
          <w:rFonts w:ascii="Garamond" w:hAnsi="Garamond" w:cs="Times New Roman"/>
          <w:color w:val="222222"/>
          <w:shd w:val="clear" w:color="auto" w:fill="FFFFFF"/>
        </w:rPr>
        <w:t xml:space="preserve">Carleton T &amp; Hsiang S (2016) Social and economic impacts of climate. Science </w:t>
      </w:r>
      <w:r>
        <w:rPr>
          <w:rFonts w:ascii="Garamond" w:hAnsi="Garamond" w:cs="Times New Roman"/>
          <w:b/>
          <w:bCs/>
          <w:color w:val="222222"/>
          <w:shd w:val="clear" w:color="auto" w:fill="FFFFFF"/>
        </w:rPr>
        <w:t>353</w:t>
      </w:r>
      <w:r>
        <w:rPr>
          <w:rFonts w:ascii="Garamond" w:hAnsi="Garamond" w:cs="Times New Roman"/>
          <w:color w:val="222222"/>
          <w:shd w:val="clear" w:color="auto" w:fill="FFFFFF"/>
        </w:rPr>
        <w:t>, 6304.</w:t>
      </w:r>
    </w:p>
    <w:p w14:paraId="6C7B8B38">
      <w:pPr>
        <w:pStyle w:val="18"/>
        <w:numPr>
          <w:ilvl w:val="0"/>
          <w:numId w:val="1"/>
        </w:numPr>
        <w:spacing w:line="360" w:lineRule="auto"/>
        <w:ind w:firstLineChars="0"/>
        <w:jc w:val="both"/>
        <w:rPr>
          <w:rFonts w:ascii="Garamond" w:hAnsi="Garamond" w:cs="Times New Roman"/>
          <w:color w:val="222222"/>
          <w:shd w:val="clear" w:color="auto" w:fill="FFFFFF"/>
        </w:rPr>
      </w:pPr>
      <w:r>
        <w:rPr>
          <w:rFonts w:ascii="Garamond" w:hAnsi="Garamond" w:cs="Times New Roman"/>
          <w:color w:val="222222"/>
          <w:shd w:val="clear" w:color="auto" w:fill="FFFFFF"/>
        </w:rPr>
        <w:t>Chen X (2019) Smog, cognition and real-world decision-making. </w:t>
      </w:r>
      <w:r>
        <w:rPr>
          <w:rFonts w:ascii="Garamond" w:hAnsi="Garamond" w:cs="Times New Roman"/>
          <w:color w:val="222222"/>
        </w:rPr>
        <w:t>International Journal of Health Policy and Management</w:t>
      </w:r>
      <w:r>
        <w:rPr>
          <w:rFonts w:ascii="Garamond" w:hAnsi="Garamond" w:cs="Times New Roman"/>
          <w:color w:val="222222"/>
          <w:shd w:val="clear" w:color="auto" w:fill="FFFFFF"/>
        </w:rPr>
        <w:t xml:space="preserve"> </w:t>
      </w:r>
      <w:r>
        <w:rPr>
          <w:rFonts w:ascii="Garamond" w:hAnsi="Garamond" w:cs="Times New Roman"/>
          <w:b/>
          <w:bCs/>
          <w:color w:val="222222"/>
          <w:shd w:val="clear" w:color="auto" w:fill="FFFFFF"/>
        </w:rPr>
        <w:t>8</w:t>
      </w:r>
      <w:r>
        <w:rPr>
          <w:rFonts w:ascii="Garamond" w:hAnsi="Garamond" w:cs="Times New Roman"/>
          <w:color w:val="222222"/>
          <w:shd w:val="clear" w:color="auto" w:fill="FFFFFF"/>
        </w:rPr>
        <w:t xml:space="preserve">(2), 76-80. </w:t>
      </w:r>
    </w:p>
    <w:p w14:paraId="446A08A0">
      <w:pPr>
        <w:pStyle w:val="18"/>
        <w:numPr>
          <w:ilvl w:val="0"/>
          <w:numId w:val="1"/>
        </w:numPr>
        <w:spacing w:line="360" w:lineRule="auto"/>
        <w:ind w:firstLineChars="0"/>
        <w:jc w:val="both"/>
        <w:rPr>
          <w:rFonts w:ascii="Garamond" w:hAnsi="Garamond" w:cs="Times New Roman"/>
          <w:color w:val="222222"/>
          <w:shd w:val="clear" w:color="auto" w:fill="FFFFFF"/>
        </w:rPr>
      </w:pPr>
      <w:r>
        <w:rPr>
          <w:rFonts w:ascii="Garamond" w:hAnsi="Garamond" w:cs="Times New Roman"/>
        </w:rPr>
        <w:t xml:space="preserve">China Meteorological Administration (2023). The 2022 China Climate Bulletin (In Chinese). </w:t>
      </w:r>
      <w:bookmarkStart w:id="1" w:name="_Hlk136848348"/>
      <w:r>
        <w:rPr>
          <w:rFonts w:ascii="Garamond" w:hAnsi="Garamond" w:cs="Times New Roman"/>
        </w:rPr>
        <w:t>Accessed at</w:t>
      </w:r>
      <w:bookmarkEnd w:id="1"/>
      <w:r>
        <w:rPr>
          <w:rFonts w:ascii="Garamond" w:hAnsi="Garamond" w:cs="Times New Roman"/>
        </w:rPr>
        <w:t xml:space="preserve"> </w:t>
      </w:r>
      <w:r>
        <w:fldChar w:fldCharType="begin"/>
      </w:r>
      <w:r>
        <w:instrText xml:space="preserve"> HYPERLINK "https://finance.sina.com.cn/jjxw/2023-02-07/doc-imyewcsp6237363.shtml?cref=cj" </w:instrText>
      </w:r>
      <w:r>
        <w:fldChar w:fldCharType="separate"/>
      </w:r>
      <w:r>
        <w:rPr>
          <w:rStyle w:val="12"/>
          <w:rFonts w:ascii="Garamond" w:hAnsi="Garamond" w:cs="Times New Roman"/>
        </w:rPr>
        <w:t>https://finance.sina.com.cn/jjxw/2023-02-07/doc-imyewcsp6237363.shtml?cref=cj</w:t>
      </w:r>
      <w:r>
        <w:rPr>
          <w:rStyle w:val="12"/>
          <w:rFonts w:ascii="Garamond" w:hAnsi="Garamond" w:cs="Times New Roman"/>
        </w:rPr>
        <w:fldChar w:fldCharType="end"/>
      </w:r>
      <w:r>
        <w:rPr>
          <w:rFonts w:ascii="Garamond" w:hAnsi="Garamond" w:cs="Times New Roman"/>
        </w:rPr>
        <w:t xml:space="preserve"> (Last accessed: May 7, 2023).</w:t>
      </w:r>
    </w:p>
    <w:p w14:paraId="5E62D294">
      <w:pPr>
        <w:pStyle w:val="18"/>
        <w:numPr>
          <w:ilvl w:val="0"/>
          <w:numId w:val="1"/>
        </w:numPr>
        <w:spacing w:line="360" w:lineRule="auto"/>
        <w:ind w:firstLineChars="0"/>
        <w:jc w:val="both"/>
        <w:rPr>
          <w:rFonts w:ascii="Garamond" w:hAnsi="Garamond" w:cs="Times New Roman"/>
          <w:color w:val="222222"/>
          <w:shd w:val="clear" w:color="auto" w:fill="FFFFFF"/>
        </w:rPr>
      </w:pPr>
      <w:r>
        <w:rPr>
          <w:rFonts w:ascii="Garamond" w:hAnsi="Garamond" w:cs="Times New Roman"/>
        </w:rPr>
        <w:t xml:space="preserve">Chinese Center for Disease Control and Prevention (2019) </w:t>
      </w:r>
      <w:r>
        <w:rPr>
          <w:rFonts w:ascii="Garamond" w:hAnsi="Garamond" w:cs="Times New Roman"/>
          <w:i/>
          <w:iCs/>
        </w:rPr>
        <w:t>China Food Composition Tables</w:t>
      </w:r>
      <w:r>
        <w:rPr>
          <w:rFonts w:ascii="Garamond" w:hAnsi="Garamond" w:cs="Times New Roman"/>
        </w:rPr>
        <w:t>. 6</w:t>
      </w:r>
      <w:r>
        <w:rPr>
          <w:rFonts w:ascii="Garamond" w:hAnsi="Garamond" w:cs="Times New Roman"/>
          <w:vertAlign w:val="superscript"/>
        </w:rPr>
        <w:t>th</w:t>
      </w:r>
      <w:r>
        <w:rPr>
          <w:rFonts w:ascii="Garamond" w:hAnsi="Garamond" w:cs="Times New Roman"/>
        </w:rPr>
        <w:t xml:space="preserve"> ed. Beijing: Peking University Publishing. </w:t>
      </w:r>
    </w:p>
    <w:p w14:paraId="3A6AB7AE">
      <w:pPr>
        <w:pStyle w:val="18"/>
        <w:numPr>
          <w:ilvl w:val="0"/>
          <w:numId w:val="1"/>
        </w:numPr>
        <w:spacing w:line="360" w:lineRule="auto"/>
        <w:ind w:firstLineChars="0"/>
        <w:jc w:val="both"/>
        <w:rPr>
          <w:rFonts w:ascii="Garamond" w:hAnsi="Garamond" w:cs="Times New Roman"/>
          <w:color w:val="222222"/>
          <w:shd w:val="clear" w:color="auto" w:fill="FFFFFF"/>
        </w:rPr>
      </w:pPr>
      <w:bookmarkStart w:id="2" w:name="_Hlk47270694"/>
      <w:r>
        <w:rPr>
          <w:rFonts w:ascii="Garamond" w:hAnsi="Garamond" w:cs="Times New Roman"/>
          <w:color w:val="222222"/>
          <w:shd w:val="clear" w:color="auto" w:fill="FFFFFF"/>
          <w:lang w:val="de-DE"/>
        </w:rPr>
        <w:t>Denissen</w:t>
      </w:r>
      <w:bookmarkEnd w:id="2"/>
      <w:r>
        <w:rPr>
          <w:rFonts w:ascii="Garamond" w:hAnsi="Garamond" w:cs="Times New Roman"/>
          <w:color w:val="222222"/>
          <w:shd w:val="clear" w:color="auto" w:fill="FFFFFF"/>
          <w:lang w:val="de-DE"/>
        </w:rPr>
        <w:t xml:space="preserve"> JJ, Butalid L, Penke L et al. </w:t>
      </w:r>
      <w:r>
        <w:rPr>
          <w:rFonts w:ascii="Garamond" w:hAnsi="Garamond" w:cs="Times New Roman"/>
          <w:color w:val="222222"/>
          <w:shd w:val="clear" w:color="auto" w:fill="FFFFFF"/>
        </w:rPr>
        <w:t>(2008) The effects of weather on daily mood: a multilevel approach. Emotion </w:t>
      </w:r>
      <w:r>
        <w:rPr>
          <w:rFonts w:ascii="Garamond" w:hAnsi="Garamond" w:cs="Times New Roman"/>
          <w:b/>
          <w:bCs/>
          <w:color w:val="222222"/>
          <w:shd w:val="clear" w:color="auto" w:fill="FFFFFF"/>
        </w:rPr>
        <w:t>8</w:t>
      </w:r>
      <w:r>
        <w:rPr>
          <w:rFonts w:ascii="Garamond" w:hAnsi="Garamond" w:cs="Times New Roman"/>
          <w:color w:val="222222"/>
          <w:shd w:val="clear" w:color="auto" w:fill="FFFFFF"/>
        </w:rPr>
        <w:t>, 662.</w:t>
      </w:r>
    </w:p>
    <w:p w14:paraId="25204B6F">
      <w:pPr>
        <w:pStyle w:val="18"/>
        <w:numPr>
          <w:ilvl w:val="0"/>
          <w:numId w:val="1"/>
        </w:numPr>
        <w:spacing w:line="360" w:lineRule="auto"/>
        <w:ind w:firstLineChars="0"/>
        <w:jc w:val="both"/>
        <w:rPr>
          <w:rFonts w:ascii="Garamond" w:hAnsi="Garamond" w:cs="Times New Roman"/>
        </w:rPr>
      </w:pPr>
      <w:r>
        <w:rPr>
          <w:rFonts w:ascii="Garamond" w:hAnsi="Garamond" w:cs="Times New Roman"/>
        </w:rPr>
        <w:t xml:space="preserve">Deschênes O &amp; Greenstone M (2011) Climate change, mortality, and adaptation: evidence from annual fluctuations in weather in the US. American Economic Journal: Applied Economics </w:t>
      </w:r>
      <w:r>
        <w:rPr>
          <w:rFonts w:ascii="Garamond" w:hAnsi="Garamond" w:cs="Times New Roman"/>
          <w:b/>
          <w:bCs/>
        </w:rPr>
        <w:t>3</w:t>
      </w:r>
      <w:r>
        <w:rPr>
          <w:rFonts w:ascii="Garamond" w:hAnsi="Garamond" w:cs="Times New Roman"/>
        </w:rPr>
        <w:t>, 152-185.</w:t>
      </w:r>
    </w:p>
    <w:p w14:paraId="2ED51C1D">
      <w:pPr>
        <w:pStyle w:val="18"/>
        <w:numPr>
          <w:ilvl w:val="0"/>
          <w:numId w:val="1"/>
        </w:numPr>
        <w:spacing w:line="360" w:lineRule="auto"/>
        <w:ind w:firstLineChars="0"/>
        <w:jc w:val="both"/>
        <w:rPr>
          <w:rFonts w:ascii="Garamond" w:hAnsi="Garamond" w:cs="Times New Roman"/>
        </w:rPr>
      </w:pPr>
      <w:r>
        <w:rPr>
          <w:rFonts w:ascii="Garamond" w:hAnsi="Garamond" w:cs="Times New Roman"/>
        </w:rPr>
        <w:t xml:space="preserve">Deschênes O &amp; Greenstone M (2012) The economic impacts of climate change: evidence from agricultural output and random variations in weather. American Economic Review </w:t>
      </w:r>
      <w:r>
        <w:rPr>
          <w:rFonts w:ascii="Garamond" w:hAnsi="Garamond" w:cs="Times New Roman"/>
          <w:b/>
          <w:bCs/>
        </w:rPr>
        <w:t>97</w:t>
      </w:r>
      <w:r>
        <w:rPr>
          <w:rFonts w:ascii="Garamond" w:hAnsi="Garamond" w:cs="Times New Roman"/>
        </w:rPr>
        <w:t xml:space="preserve">(1), 354-385. </w:t>
      </w:r>
    </w:p>
    <w:p w14:paraId="1E41EB1C">
      <w:pPr>
        <w:pStyle w:val="18"/>
        <w:numPr>
          <w:ilvl w:val="0"/>
          <w:numId w:val="1"/>
        </w:numPr>
        <w:spacing w:line="360" w:lineRule="auto"/>
        <w:ind w:firstLineChars="0"/>
        <w:jc w:val="both"/>
        <w:rPr>
          <w:rFonts w:ascii="Garamond" w:hAnsi="Garamond" w:cs="Times New Roman"/>
          <w:color w:val="222222"/>
          <w:shd w:val="clear" w:color="auto" w:fill="FFFFFF"/>
        </w:rPr>
      </w:pPr>
      <w:r>
        <w:rPr>
          <w:rFonts w:ascii="Garamond" w:hAnsi="Garamond" w:cs="Times New Roman"/>
          <w:color w:val="222222"/>
          <w:shd w:val="clear" w:color="auto" w:fill="FFFFFF"/>
          <w:lang w:val="de-DE"/>
        </w:rPr>
        <w:t xml:space="preserve">Fernandes, A. C., Rieger, D. K., &amp; Proença, R. P. (2019). </w:t>
      </w:r>
      <w:r>
        <w:rPr>
          <w:rFonts w:ascii="Garamond" w:hAnsi="Garamond" w:cs="Times New Roman"/>
          <w:color w:val="222222"/>
          <w:shd w:val="clear" w:color="auto" w:fill="FFFFFF"/>
        </w:rPr>
        <w:t>Perspective: Public health nutrition policies should focus on healthy eating, not on calorie counting, even to decrease obesity. </w:t>
      </w:r>
      <w:r>
        <w:rPr>
          <w:rFonts w:ascii="Garamond" w:hAnsi="Garamond" w:cs="Times New Roman"/>
          <w:i/>
          <w:iCs/>
          <w:color w:val="222222"/>
          <w:shd w:val="clear" w:color="auto" w:fill="FFFFFF"/>
        </w:rPr>
        <w:t>Advances in Nutrition</w:t>
      </w:r>
      <w:r>
        <w:rPr>
          <w:rFonts w:ascii="Garamond" w:hAnsi="Garamond" w:cs="Times New Roman"/>
          <w:color w:val="222222"/>
          <w:shd w:val="clear" w:color="auto" w:fill="FFFFFF"/>
        </w:rPr>
        <w:t>, </w:t>
      </w:r>
      <w:r>
        <w:rPr>
          <w:rFonts w:ascii="Garamond" w:hAnsi="Garamond" w:cs="Times New Roman"/>
          <w:i/>
          <w:iCs/>
          <w:color w:val="222222"/>
          <w:shd w:val="clear" w:color="auto" w:fill="FFFFFF"/>
        </w:rPr>
        <w:t>10</w:t>
      </w:r>
      <w:r>
        <w:rPr>
          <w:rFonts w:ascii="Garamond" w:hAnsi="Garamond" w:cs="Times New Roman"/>
          <w:color w:val="222222"/>
          <w:shd w:val="clear" w:color="auto" w:fill="FFFFFF"/>
        </w:rPr>
        <w:t>(4), 549-556.</w:t>
      </w:r>
    </w:p>
    <w:p w14:paraId="0ADAB1CD">
      <w:pPr>
        <w:pStyle w:val="18"/>
        <w:numPr>
          <w:ilvl w:val="0"/>
          <w:numId w:val="1"/>
        </w:numPr>
        <w:spacing w:line="360" w:lineRule="auto"/>
        <w:ind w:firstLineChars="0"/>
        <w:jc w:val="both"/>
        <w:rPr>
          <w:rFonts w:ascii="Garamond" w:hAnsi="Garamond" w:cs="Times New Roman"/>
          <w:color w:val="222222"/>
          <w:shd w:val="clear" w:color="auto" w:fill="FFFFFF"/>
        </w:rPr>
      </w:pPr>
      <w:r>
        <w:rPr>
          <w:rFonts w:ascii="Garamond" w:hAnsi="Garamond" w:cs="Times New Roman"/>
          <w:color w:val="222222"/>
          <w:shd w:val="clear" w:color="auto" w:fill="FFFFFF"/>
        </w:rPr>
        <w:t>Fishman R, Carrillo P &amp; Russ J (2019) Long-term impacts of exposure to high temperatures on human capital and economic productivity. Journal of Environmental Economics and Management </w:t>
      </w:r>
      <w:r>
        <w:rPr>
          <w:rFonts w:ascii="Garamond" w:hAnsi="Garamond" w:cs="Times New Roman"/>
          <w:b/>
          <w:bCs/>
          <w:color w:val="222222"/>
          <w:shd w:val="clear" w:color="auto" w:fill="FFFFFF"/>
        </w:rPr>
        <w:t>93</w:t>
      </w:r>
      <w:r>
        <w:rPr>
          <w:rFonts w:ascii="Garamond" w:hAnsi="Garamond" w:cs="Times New Roman"/>
          <w:color w:val="222222"/>
          <w:shd w:val="clear" w:color="auto" w:fill="FFFFFF"/>
        </w:rPr>
        <w:t>, 221-238</w:t>
      </w:r>
    </w:p>
    <w:p w14:paraId="7D06F1DD">
      <w:pPr>
        <w:pStyle w:val="18"/>
        <w:numPr>
          <w:ilvl w:val="0"/>
          <w:numId w:val="1"/>
        </w:numPr>
        <w:spacing w:line="360" w:lineRule="auto"/>
        <w:ind w:firstLineChars="0"/>
        <w:jc w:val="both"/>
        <w:rPr>
          <w:rFonts w:ascii="Garamond" w:hAnsi="Garamond" w:cs="Times New Roman"/>
          <w:color w:val="222222"/>
          <w:shd w:val="clear" w:color="auto" w:fill="FFFFFF"/>
        </w:rPr>
      </w:pPr>
      <w:r>
        <w:rPr>
          <w:rFonts w:ascii="Garamond" w:hAnsi="Garamond" w:cs="Times New Roman"/>
          <w:color w:val="222222"/>
          <w:shd w:val="clear" w:color="auto" w:fill="FFFFFF"/>
        </w:rPr>
        <w:t>Ganpule-Rao, A. V., Bhat, D., Yajnik, C. S., &amp; Rush, E. (2021). Dietary diversity scores, nutrient intakes and biomarkers vitamin B12, folate and Hb in rural youth from the Pune Maternal Nutrition Study. </w:t>
      </w:r>
      <w:r>
        <w:rPr>
          <w:rFonts w:ascii="Garamond" w:hAnsi="Garamond" w:cs="Times New Roman"/>
          <w:i/>
          <w:iCs/>
          <w:color w:val="222222"/>
          <w:shd w:val="clear" w:color="auto" w:fill="FFFFFF"/>
        </w:rPr>
        <w:t>British Journal of Nutrition</w:t>
      </w:r>
      <w:r>
        <w:rPr>
          <w:rFonts w:ascii="Garamond" w:hAnsi="Garamond" w:cs="Times New Roman"/>
          <w:color w:val="222222"/>
          <w:shd w:val="clear" w:color="auto" w:fill="FFFFFF"/>
        </w:rPr>
        <w:t>, </w:t>
      </w:r>
      <w:r>
        <w:rPr>
          <w:rFonts w:ascii="Garamond" w:hAnsi="Garamond" w:cs="Times New Roman"/>
          <w:i/>
          <w:iCs/>
          <w:color w:val="222222"/>
          <w:shd w:val="clear" w:color="auto" w:fill="FFFFFF"/>
        </w:rPr>
        <w:t>126</w:t>
      </w:r>
      <w:r>
        <w:rPr>
          <w:rFonts w:ascii="Garamond" w:hAnsi="Garamond" w:cs="Times New Roman"/>
          <w:color w:val="222222"/>
          <w:shd w:val="clear" w:color="auto" w:fill="FFFFFF"/>
        </w:rPr>
        <w:t>(2), 236-243.</w:t>
      </w:r>
    </w:p>
    <w:p w14:paraId="6D8055FA">
      <w:pPr>
        <w:pStyle w:val="18"/>
        <w:numPr>
          <w:ilvl w:val="0"/>
          <w:numId w:val="1"/>
        </w:numPr>
        <w:spacing w:line="360" w:lineRule="auto"/>
        <w:ind w:firstLineChars="0"/>
        <w:jc w:val="both"/>
        <w:rPr>
          <w:rFonts w:ascii="Garamond" w:hAnsi="Garamond" w:cs="Times New Roman"/>
          <w:color w:val="222222"/>
          <w:shd w:val="clear" w:color="auto" w:fill="FFFFFF"/>
        </w:rPr>
      </w:pPr>
      <w:r>
        <w:rPr>
          <w:rFonts w:ascii="Garamond" w:hAnsi="Garamond" w:cs="Times New Roman"/>
          <w:color w:val="222222"/>
          <w:shd w:val="clear" w:color="auto" w:fill="FFFFFF"/>
        </w:rPr>
        <w:t>GBD 2017 Diet Collaborators. (2019). Health effects of dietary risks in 195 countries, 1990-2017: A systematic analysis for the Global Burden of Disease Study 2017. </w:t>
      </w:r>
      <w:r>
        <w:rPr>
          <w:rFonts w:ascii="Garamond" w:hAnsi="Garamond" w:cs="Times New Roman"/>
          <w:i/>
          <w:iCs/>
          <w:color w:val="222222"/>
          <w:shd w:val="clear" w:color="auto" w:fill="FFFFFF"/>
        </w:rPr>
        <w:t>Lancet</w:t>
      </w:r>
      <w:r>
        <w:rPr>
          <w:rFonts w:ascii="Garamond" w:hAnsi="Garamond" w:cs="Times New Roman"/>
          <w:color w:val="222222"/>
          <w:shd w:val="clear" w:color="auto" w:fill="FFFFFF"/>
        </w:rPr>
        <w:t>, </w:t>
      </w:r>
      <w:r>
        <w:rPr>
          <w:rFonts w:ascii="Garamond" w:hAnsi="Garamond" w:cs="Times New Roman"/>
          <w:i/>
          <w:iCs/>
          <w:color w:val="222222"/>
          <w:shd w:val="clear" w:color="auto" w:fill="FFFFFF"/>
        </w:rPr>
        <w:t>393</w:t>
      </w:r>
      <w:r>
        <w:rPr>
          <w:rFonts w:ascii="Garamond" w:hAnsi="Garamond" w:cs="Times New Roman"/>
          <w:color w:val="222222"/>
          <w:shd w:val="clear" w:color="auto" w:fill="FFFFFF"/>
        </w:rPr>
        <w:t>(10184), 1958-1972.</w:t>
      </w:r>
    </w:p>
    <w:p w14:paraId="75B7084C">
      <w:pPr>
        <w:pStyle w:val="18"/>
        <w:numPr>
          <w:ilvl w:val="0"/>
          <w:numId w:val="1"/>
        </w:numPr>
        <w:spacing w:line="360" w:lineRule="auto"/>
        <w:ind w:firstLineChars="0"/>
        <w:jc w:val="both"/>
        <w:rPr>
          <w:rFonts w:ascii="Garamond" w:hAnsi="Garamond" w:cs="Times New Roman"/>
          <w:color w:val="222222"/>
          <w:shd w:val="clear" w:color="auto" w:fill="FFFFFF"/>
        </w:rPr>
      </w:pPr>
      <w:r>
        <w:rPr>
          <w:rFonts w:ascii="Garamond" w:hAnsi="Garamond" w:cs="Times New Roman"/>
          <w:color w:val="222222"/>
          <w:shd w:val="clear" w:color="auto" w:fill="FFFFFF"/>
        </w:rPr>
        <w:t xml:space="preserve">Guimaraes, P &amp; Portugal, P (2010) A simple feasible procedure to fit models with high-dimensional fixed effects. Stata Journal </w:t>
      </w:r>
      <w:r>
        <w:rPr>
          <w:rFonts w:ascii="Garamond" w:hAnsi="Garamond" w:cs="Times New Roman"/>
          <w:b/>
          <w:bCs/>
          <w:color w:val="222222"/>
          <w:shd w:val="clear" w:color="auto" w:fill="FFFFFF"/>
        </w:rPr>
        <w:t>10</w:t>
      </w:r>
      <w:r>
        <w:rPr>
          <w:rFonts w:ascii="Garamond" w:hAnsi="Garamond" w:cs="Times New Roman"/>
          <w:color w:val="222222"/>
          <w:shd w:val="clear" w:color="auto" w:fill="FFFFFF"/>
        </w:rPr>
        <w:t>(4), 628.</w:t>
      </w:r>
    </w:p>
    <w:p w14:paraId="41562924">
      <w:pPr>
        <w:pStyle w:val="18"/>
        <w:numPr>
          <w:ilvl w:val="0"/>
          <w:numId w:val="1"/>
        </w:numPr>
        <w:spacing w:line="360" w:lineRule="auto"/>
        <w:ind w:firstLineChars="0"/>
        <w:jc w:val="both"/>
        <w:rPr>
          <w:rFonts w:ascii="Garamond" w:hAnsi="Garamond" w:cs="Times New Roman"/>
          <w:color w:val="222222"/>
          <w:shd w:val="clear" w:color="auto" w:fill="FFFFFF"/>
        </w:rPr>
      </w:pPr>
      <w:r>
        <w:rPr>
          <w:rFonts w:ascii="Garamond" w:hAnsi="Garamond" w:cs="Times New Roman"/>
          <w:color w:val="222222"/>
          <w:shd w:val="clear" w:color="auto" w:fill="FFFFFF"/>
        </w:rPr>
        <w:t xml:space="preserve">Hanlon WW, Hansen CW, &amp; Kantor JW (2021) Temperature, Disease, and Death in London: Analyzing Weekly Data for the Century from 1866-1965. The Journal of Economic History 81(1): 40-80. </w:t>
      </w:r>
    </w:p>
    <w:p w14:paraId="17C78D9C">
      <w:pPr>
        <w:pStyle w:val="18"/>
        <w:numPr>
          <w:ilvl w:val="0"/>
          <w:numId w:val="1"/>
        </w:numPr>
        <w:spacing w:line="360" w:lineRule="auto"/>
        <w:ind w:firstLineChars="0"/>
        <w:jc w:val="both"/>
        <w:rPr>
          <w:rFonts w:ascii="Garamond" w:hAnsi="Garamond" w:cs="Times New Roman"/>
          <w:color w:val="222222"/>
          <w:shd w:val="clear" w:color="auto" w:fill="FFFFFF"/>
        </w:rPr>
      </w:pPr>
      <w:r>
        <w:rPr>
          <w:rFonts w:ascii="Garamond" w:hAnsi="Garamond" w:cs="Times New Roman"/>
          <w:color w:val="222222"/>
          <w:shd w:val="clear" w:color="auto" w:fill="FFFFFF"/>
        </w:rPr>
        <w:t>Hua, Y., Qiu, Y., &amp; Tan, X. (2022). The effects of temperature on mental health: evidence from China. Journal of Population Economics, 1-40.</w:t>
      </w:r>
    </w:p>
    <w:p w14:paraId="2A7560EC">
      <w:pPr>
        <w:pStyle w:val="18"/>
        <w:numPr>
          <w:ilvl w:val="0"/>
          <w:numId w:val="1"/>
        </w:numPr>
        <w:spacing w:line="360" w:lineRule="auto"/>
        <w:ind w:firstLineChars="0"/>
        <w:jc w:val="both"/>
        <w:rPr>
          <w:rFonts w:ascii="Garamond" w:hAnsi="Garamond" w:cs="Times New Roman"/>
          <w:color w:val="222222"/>
          <w:shd w:val="clear" w:color="auto" w:fill="FFFFFF"/>
        </w:rPr>
      </w:pPr>
      <w:r>
        <w:rPr>
          <w:rFonts w:ascii="Garamond" w:hAnsi="Garamond" w:cs="Times New Roman"/>
          <w:color w:val="222222"/>
          <w:shd w:val="clear" w:color="auto" w:fill="FFFFFF"/>
        </w:rPr>
        <w:t xml:space="preserve">IPCC (2014) IPCC (Intergovernmental Panel on Climate Change) </w:t>
      </w:r>
      <w:r>
        <w:rPr>
          <w:rFonts w:ascii="Garamond" w:hAnsi="Garamond" w:cs="Times New Roman"/>
          <w:i/>
          <w:iCs/>
          <w:color w:val="222222"/>
          <w:shd w:val="clear" w:color="auto" w:fill="FFFFFF"/>
        </w:rPr>
        <w:t>Fifth Assessment Report</w:t>
      </w:r>
      <w:r>
        <w:rPr>
          <w:rFonts w:ascii="Garamond" w:hAnsi="Garamond" w:cs="Times New Roman"/>
          <w:color w:val="222222"/>
          <w:shd w:val="clear" w:color="auto" w:fill="FFFFFF"/>
        </w:rPr>
        <w:t>. Technical Report. Cambridge, United Kingdom and New York, NY, USA: IPCC.</w:t>
      </w:r>
    </w:p>
    <w:p w14:paraId="47705430">
      <w:pPr>
        <w:pStyle w:val="18"/>
        <w:numPr>
          <w:ilvl w:val="0"/>
          <w:numId w:val="1"/>
        </w:numPr>
        <w:spacing w:line="360" w:lineRule="auto"/>
        <w:ind w:firstLineChars="0"/>
        <w:jc w:val="both"/>
        <w:rPr>
          <w:rFonts w:ascii="Garamond" w:hAnsi="Garamond" w:cs="Times New Roman"/>
          <w:color w:val="222222"/>
          <w:shd w:val="clear" w:color="auto" w:fill="FFFFFF"/>
        </w:rPr>
      </w:pPr>
      <w:r>
        <w:rPr>
          <w:rFonts w:ascii="Garamond" w:hAnsi="Garamond" w:cs="Times New Roman"/>
          <w:color w:val="222222"/>
          <w:shd w:val="clear" w:color="auto" w:fill="FFFFFF"/>
        </w:rPr>
        <w:t xml:space="preserve">IPCC (2022) Climate Change 2022: </w:t>
      </w:r>
      <w:r>
        <w:rPr>
          <w:rFonts w:ascii="Garamond" w:hAnsi="Garamond" w:cs="Times New Roman"/>
          <w:i/>
          <w:iCs/>
          <w:color w:val="222222"/>
          <w:shd w:val="clear" w:color="auto" w:fill="FFFFFF"/>
        </w:rPr>
        <w:t>Mitigation of Climate Change. Contribution of Working Group III to the Sixth Assessment Report of the Intergovernmental Panel on Climate Change</w:t>
      </w:r>
      <w:r>
        <w:rPr>
          <w:rFonts w:ascii="Garamond" w:hAnsi="Garamond" w:cs="Times New Roman"/>
          <w:color w:val="222222"/>
          <w:shd w:val="clear" w:color="auto" w:fill="FFFFFF"/>
        </w:rPr>
        <w:t xml:space="preserve"> [P.R. Shukla, J. Skea, R. Slade, A. Al Khourdajie, R. van Diemen, D. McCollum, M. Pathak, S. Some, P. Vyas, R. Fradera, M. Belkacemi, A. Hasija, G. Lisboa, S. Luz, J. Malley, (eds.)]. Cambridge University Press, Cambridge, UK and New York, NY, USA. doi: 10.1017/9781009157926</w:t>
      </w:r>
    </w:p>
    <w:p w14:paraId="4E8CEDE2">
      <w:pPr>
        <w:pStyle w:val="18"/>
        <w:numPr>
          <w:ilvl w:val="0"/>
          <w:numId w:val="1"/>
        </w:numPr>
        <w:spacing w:line="360" w:lineRule="auto"/>
        <w:ind w:firstLineChars="0"/>
        <w:jc w:val="both"/>
        <w:rPr>
          <w:rFonts w:ascii="Garamond" w:hAnsi="Garamond" w:cs="Times New Roman"/>
          <w:color w:val="222222"/>
          <w:shd w:val="clear" w:color="auto" w:fill="FFFFFF"/>
        </w:rPr>
      </w:pPr>
      <w:r>
        <w:rPr>
          <w:rFonts w:ascii="Garamond" w:hAnsi="Garamond" w:cs="Times New Roman"/>
          <w:color w:val="222222"/>
          <w:shd w:val="clear" w:color="auto" w:fill="FFFFFF"/>
        </w:rPr>
        <w:t>Kennedy, G., Ballard, T., &amp; Dop, M. C. (2011). </w:t>
      </w:r>
      <w:r>
        <w:rPr>
          <w:rFonts w:ascii="Garamond" w:hAnsi="Garamond" w:cs="Times New Roman"/>
          <w:i/>
          <w:iCs/>
          <w:color w:val="222222"/>
          <w:shd w:val="clear" w:color="auto" w:fill="FFFFFF"/>
        </w:rPr>
        <w:t>Guidelines for Measuring Household and Individual Dietary Diversity</w:t>
      </w:r>
      <w:r>
        <w:rPr>
          <w:rFonts w:ascii="Garamond" w:hAnsi="Garamond" w:cs="Times New Roman"/>
          <w:color w:val="222222"/>
          <w:shd w:val="clear" w:color="auto" w:fill="FFFFFF"/>
        </w:rPr>
        <w:t>. Food and Agriculture Organization of the United Nations.</w:t>
      </w:r>
    </w:p>
    <w:p w14:paraId="6D2D8839">
      <w:pPr>
        <w:pStyle w:val="18"/>
        <w:numPr>
          <w:ilvl w:val="0"/>
          <w:numId w:val="1"/>
        </w:numPr>
        <w:spacing w:line="360" w:lineRule="auto"/>
        <w:ind w:firstLineChars="0"/>
        <w:jc w:val="both"/>
        <w:rPr>
          <w:rFonts w:ascii="Garamond" w:hAnsi="Garamond" w:cs="Times New Roman"/>
          <w:color w:val="222222"/>
          <w:shd w:val="clear" w:color="auto" w:fill="FFFFFF"/>
        </w:rPr>
      </w:pPr>
      <w:r>
        <w:rPr>
          <w:rFonts w:ascii="Garamond" w:hAnsi="Garamond" w:cs="Times New Roman"/>
          <w:color w:val="222222"/>
          <w:shd w:val="clear" w:color="auto" w:fill="FFFFFF"/>
        </w:rPr>
        <w:t>Kent, S. T., McClure, L. A., Zaitchik, B. F., Smith, T. T., &amp; Gohlke, J. M. (2014). Heat waves and health outcomes in Alabama (USA): The importance of heat wave definition. </w:t>
      </w:r>
      <w:r>
        <w:rPr>
          <w:rFonts w:ascii="Garamond" w:hAnsi="Garamond" w:cs="Times New Roman"/>
          <w:i/>
          <w:iCs/>
          <w:color w:val="222222"/>
          <w:shd w:val="clear" w:color="auto" w:fill="FFFFFF"/>
        </w:rPr>
        <w:t>Environmental health perspectives</w:t>
      </w:r>
      <w:r>
        <w:rPr>
          <w:rFonts w:ascii="Garamond" w:hAnsi="Garamond" w:cs="Times New Roman"/>
          <w:color w:val="222222"/>
          <w:shd w:val="clear" w:color="auto" w:fill="FFFFFF"/>
        </w:rPr>
        <w:t>, </w:t>
      </w:r>
      <w:r>
        <w:rPr>
          <w:rFonts w:ascii="Garamond" w:hAnsi="Garamond" w:cs="Times New Roman"/>
          <w:i/>
          <w:iCs/>
          <w:color w:val="222222"/>
          <w:shd w:val="clear" w:color="auto" w:fill="FFFFFF"/>
        </w:rPr>
        <w:t>122</w:t>
      </w:r>
      <w:r>
        <w:rPr>
          <w:rFonts w:ascii="Garamond" w:hAnsi="Garamond" w:cs="Times New Roman"/>
          <w:color w:val="222222"/>
          <w:shd w:val="clear" w:color="auto" w:fill="FFFFFF"/>
        </w:rPr>
        <w:t>(2), 151-158.</w:t>
      </w:r>
    </w:p>
    <w:p w14:paraId="11A668F2">
      <w:pPr>
        <w:pStyle w:val="18"/>
        <w:numPr>
          <w:ilvl w:val="0"/>
          <w:numId w:val="1"/>
        </w:numPr>
        <w:spacing w:line="360" w:lineRule="auto"/>
        <w:ind w:firstLineChars="0"/>
        <w:jc w:val="both"/>
        <w:rPr>
          <w:rFonts w:ascii="Garamond" w:hAnsi="Garamond" w:cs="Times New Roman"/>
          <w:color w:val="222222"/>
          <w:shd w:val="clear" w:color="auto" w:fill="FFFFFF"/>
        </w:rPr>
      </w:pPr>
      <w:r>
        <w:rPr>
          <w:rFonts w:ascii="Garamond" w:hAnsi="Garamond" w:cs="Times New Roman"/>
          <w:color w:val="222222"/>
          <w:shd w:val="clear" w:color="auto" w:fill="FFFFFF"/>
        </w:rPr>
        <w:t>Krebs-Smith, S. M., Pannucci, T. E., Subar, A. F., Kirkpatrick, S. I., Lerman, J. L., Tooze, J. A., ... &amp; Reedy, J. (2018). Update of the healthy eating index: HEI-2015. </w:t>
      </w:r>
      <w:r>
        <w:rPr>
          <w:rFonts w:ascii="Garamond" w:hAnsi="Garamond" w:cs="Times New Roman"/>
          <w:i/>
          <w:iCs/>
          <w:color w:val="222222"/>
          <w:shd w:val="clear" w:color="auto" w:fill="FFFFFF"/>
        </w:rPr>
        <w:t>Journal of the Academy of Nutrition and Dietetics</w:t>
      </w:r>
      <w:r>
        <w:rPr>
          <w:rFonts w:ascii="Garamond" w:hAnsi="Garamond" w:cs="Times New Roman"/>
          <w:color w:val="222222"/>
          <w:shd w:val="clear" w:color="auto" w:fill="FFFFFF"/>
        </w:rPr>
        <w:t>, </w:t>
      </w:r>
      <w:r>
        <w:rPr>
          <w:rFonts w:ascii="Garamond" w:hAnsi="Garamond" w:cs="Times New Roman"/>
          <w:i/>
          <w:iCs/>
          <w:color w:val="222222"/>
          <w:shd w:val="clear" w:color="auto" w:fill="FFFFFF"/>
        </w:rPr>
        <w:t>118</w:t>
      </w:r>
      <w:r>
        <w:rPr>
          <w:rFonts w:ascii="Garamond" w:hAnsi="Garamond" w:cs="Times New Roman"/>
          <w:color w:val="222222"/>
          <w:shd w:val="clear" w:color="auto" w:fill="FFFFFF"/>
        </w:rPr>
        <w:t>(9), 1591-1602.</w:t>
      </w:r>
    </w:p>
    <w:p w14:paraId="0EFCE1C4">
      <w:pPr>
        <w:pStyle w:val="18"/>
        <w:numPr>
          <w:ilvl w:val="0"/>
          <w:numId w:val="1"/>
        </w:numPr>
        <w:spacing w:line="360" w:lineRule="auto"/>
        <w:ind w:firstLineChars="0"/>
        <w:jc w:val="both"/>
        <w:rPr>
          <w:rFonts w:ascii="Garamond" w:hAnsi="Garamond" w:cs="Times New Roman"/>
          <w:color w:val="222222"/>
          <w:shd w:val="clear" w:color="auto" w:fill="FFFFFF"/>
        </w:rPr>
      </w:pPr>
      <w:r>
        <w:rPr>
          <w:rFonts w:ascii="Garamond" w:hAnsi="Garamond" w:cs="Times New Roman"/>
          <w:color w:val="222222"/>
          <w:shd w:val="clear" w:color="auto" w:fill="FFFFFF"/>
          <w:lang w:val="de-DE"/>
        </w:rPr>
        <w:t xml:space="preserve">Liu, H., Wahl, T. I., Seale Jr, J. L., &amp; Bai, J. (2015). </w:t>
      </w:r>
      <w:r>
        <w:rPr>
          <w:rFonts w:ascii="Garamond" w:hAnsi="Garamond" w:cs="Times New Roman"/>
          <w:color w:val="222222"/>
          <w:shd w:val="clear" w:color="auto" w:fill="FFFFFF"/>
        </w:rPr>
        <w:t xml:space="preserve">Household composition, income, and food-away-from-home expenditure in urban China. </w:t>
      </w:r>
      <w:r>
        <w:rPr>
          <w:rFonts w:ascii="Garamond" w:hAnsi="Garamond" w:cs="Times New Roman"/>
          <w:i/>
          <w:iCs/>
          <w:color w:val="222222"/>
          <w:shd w:val="clear" w:color="auto" w:fill="FFFFFF"/>
        </w:rPr>
        <w:t>Food Policy</w:t>
      </w:r>
      <w:r>
        <w:rPr>
          <w:rFonts w:ascii="Garamond" w:hAnsi="Garamond" w:cs="Times New Roman"/>
          <w:color w:val="222222"/>
          <w:shd w:val="clear" w:color="auto" w:fill="FFFFFF"/>
        </w:rPr>
        <w:t>, 51, 97-103.</w:t>
      </w:r>
    </w:p>
    <w:p w14:paraId="32FB7303">
      <w:pPr>
        <w:pStyle w:val="18"/>
        <w:numPr>
          <w:ilvl w:val="0"/>
          <w:numId w:val="1"/>
        </w:numPr>
        <w:spacing w:line="360" w:lineRule="auto"/>
        <w:ind w:firstLineChars="0"/>
        <w:jc w:val="both"/>
        <w:rPr>
          <w:rFonts w:ascii="Garamond" w:hAnsi="Garamond" w:cs="Times New Roman"/>
          <w:color w:val="222222"/>
          <w:shd w:val="clear" w:color="auto" w:fill="FFFFFF"/>
        </w:rPr>
      </w:pPr>
      <w:r>
        <w:rPr>
          <w:rFonts w:ascii="Garamond" w:hAnsi="Garamond" w:cs="Times New Roman"/>
          <w:color w:val="222222"/>
          <w:shd w:val="clear" w:color="auto" w:fill="FFFFFF"/>
        </w:rPr>
        <w:t>López-Olmedo, N., Diez-Roux, A. V., Pérez-Ferrer, C., Prado-Galbarro, F. J., Riojas-Rodríguez, H., Rivera-Dommarco, J., &amp; Barrientos-Gutierrez, T. (2021). Climate trends and consumption of foods and beverages by processing level in Mexican cities. </w:t>
      </w:r>
      <w:r>
        <w:rPr>
          <w:rFonts w:ascii="Garamond" w:hAnsi="Garamond" w:cs="Times New Roman"/>
          <w:i/>
          <w:iCs/>
          <w:color w:val="222222"/>
          <w:shd w:val="clear" w:color="auto" w:fill="FFFFFF"/>
        </w:rPr>
        <w:t>Frontiers in Nutrition</w:t>
      </w:r>
      <w:r>
        <w:rPr>
          <w:rFonts w:ascii="Garamond" w:hAnsi="Garamond" w:cs="Times New Roman"/>
          <w:color w:val="222222"/>
          <w:shd w:val="clear" w:color="auto" w:fill="FFFFFF"/>
        </w:rPr>
        <w:t>, </w:t>
      </w:r>
      <w:r>
        <w:rPr>
          <w:rFonts w:ascii="Garamond" w:hAnsi="Garamond" w:cs="Times New Roman"/>
          <w:i/>
          <w:iCs/>
          <w:color w:val="222222"/>
          <w:shd w:val="clear" w:color="auto" w:fill="FFFFFF"/>
        </w:rPr>
        <w:t>8</w:t>
      </w:r>
      <w:r>
        <w:rPr>
          <w:rFonts w:ascii="Garamond" w:hAnsi="Garamond" w:cs="Times New Roman"/>
          <w:color w:val="222222"/>
          <w:shd w:val="clear" w:color="auto" w:fill="FFFFFF"/>
        </w:rPr>
        <w:t>, 647497.</w:t>
      </w:r>
    </w:p>
    <w:p w14:paraId="3A1CA1BF">
      <w:pPr>
        <w:pStyle w:val="18"/>
        <w:numPr>
          <w:ilvl w:val="0"/>
          <w:numId w:val="1"/>
        </w:numPr>
        <w:spacing w:line="360" w:lineRule="auto"/>
        <w:ind w:firstLineChars="0"/>
        <w:jc w:val="both"/>
        <w:rPr>
          <w:rFonts w:ascii="Garamond" w:hAnsi="Garamond" w:cs="Times New Roman"/>
          <w:color w:val="222222"/>
          <w:shd w:val="clear" w:color="auto" w:fill="FFFFFF"/>
        </w:rPr>
      </w:pPr>
      <w:r>
        <w:rPr>
          <w:rFonts w:ascii="Garamond" w:hAnsi="Garamond" w:cs="Times New Roman"/>
          <w:color w:val="222222"/>
          <w:shd w:val="clear" w:color="auto" w:fill="FFFFFF"/>
        </w:rPr>
        <w:t>Lucan, S. C., &amp; DiNicolantonio, J. J. (2015). How calorie-focused thinking about obesity and related diseases may mislead and harm public health. An alternative. </w:t>
      </w:r>
      <w:r>
        <w:rPr>
          <w:rFonts w:ascii="Garamond" w:hAnsi="Garamond" w:cs="Times New Roman"/>
          <w:i/>
          <w:iCs/>
          <w:color w:val="222222"/>
          <w:shd w:val="clear" w:color="auto" w:fill="FFFFFF"/>
        </w:rPr>
        <w:t>Public Health Nutrition</w:t>
      </w:r>
      <w:r>
        <w:rPr>
          <w:rFonts w:ascii="Garamond" w:hAnsi="Garamond" w:cs="Times New Roman"/>
          <w:color w:val="222222"/>
          <w:shd w:val="clear" w:color="auto" w:fill="FFFFFF"/>
        </w:rPr>
        <w:t>, </w:t>
      </w:r>
      <w:r>
        <w:rPr>
          <w:rFonts w:ascii="Garamond" w:hAnsi="Garamond" w:cs="Times New Roman"/>
          <w:i/>
          <w:iCs/>
          <w:color w:val="222222"/>
          <w:shd w:val="clear" w:color="auto" w:fill="FFFFFF"/>
        </w:rPr>
        <w:t>18</w:t>
      </w:r>
      <w:r>
        <w:rPr>
          <w:rFonts w:ascii="Garamond" w:hAnsi="Garamond" w:cs="Times New Roman"/>
          <w:color w:val="222222"/>
          <w:shd w:val="clear" w:color="auto" w:fill="FFFFFF"/>
        </w:rPr>
        <w:t>(4), 571-581.</w:t>
      </w:r>
    </w:p>
    <w:p w14:paraId="42956143">
      <w:pPr>
        <w:pStyle w:val="18"/>
        <w:numPr>
          <w:ilvl w:val="0"/>
          <w:numId w:val="1"/>
        </w:numPr>
        <w:spacing w:line="360" w:lineRule="auto"/>
        <w:ind w:firstLineChars="0"/>
        <w:rPr>
          <w:rFonts w:ascii="Garamond" w:hAnsi="Garamond" w:cs="Times New Roman"/>
          <w:color w:val="222222"/>
          <w:shd w:val="clear" w:color="auto" w:fill="FFFFFF"/>
        </w:rPr>
      </w:pPr>
      <w:r>
        <w:rPr>
          <w:rFonts w:ascii="Garamond" w:hAnsi="Garamond" w:cs="Times New Roman"/>
          <w:color w:val="222222"/>
          <w:shd w:val="clear" w:color="auto" w:fill="FFFFFF"/>
        </w:rPr>
        <w:t xml:space="preserve">Milman, O. (2022) A third of Americans are already facing above-average warming. The Guardian. February 5, 2022. https://www.theguardian.com/environment/2022/feb/05/americans-above-average-temperature-increase-climate-crisis (accessed </w:t>
      </w:r>
      <w:r>
        <w:rPr>
          <w:rFonts w:ascii="Garamond" w:hAnsi="Garamond" w:cs="Times New Roman"/>
          <w:color w:val="222222"/>
          <w:shd w:val="clear" w:color="auto" w:fill="FFFFFF"/>
          <w:lang w:eastAsia="zh-CN"/>
        </w:rPr>
        <w:t>Fe</w:t>
      </w:r>
      <w:r>
        <w:rPr>
          <w:rFonts w:ascii="Garamond" w:hAnsi="Garamond" w:cs="Times New Roman"/>
          <w:color w:val="222222"/>
          <w:shd w:val="clear" w:color="auto" w:fill="FFFFFF"/>
        </w:rPr>
        <w:t>b 7, 2022).</w:t>
      </w:r>
    </w:p>
    <w:p w14:paraId="7AD24428">
      <w:pPr>
        <w:pStyle w:val="18"/>
        <w:numPr>
          <w:ilvl w:val="0"/>
          <w:numId w:val="1"/>
        </w:numPr>
        <w:spacing w:line="360" w:lineRule="auto"/>
        <w:ind w:firstLineChars="0"/>
        <w:jc w:val="both"/>
        <w:rPr>
          <w:rFonts w:ascii="Garamond" w:hAnsi="Garamond" w:cs="Times New Roman"/>
          <w:color w:val="222222"/>
          <w:shd w:val="clear" w:color="auto" w:fill="FFFFFF"/>
        </w:rPr>
      </w:pPr>
      <w:r>
        <w:rPr>
          <w:rFonts w:ascii="Garamond" w:hAnsi="Garamond" w:cs="Times New Roman"/>
          <w:color w:val="222222"/>
          <w:shd w:val="clear" w:color="auto" w:fill="FFFFFF"/>
        </w:rPr>
        <w:t>Niles, M. T., Emery, B. F., Wiltshire, S., Brown, M. E., Fisher, B., &amp; Ricketts, T. H. (2021). Climate impacts associated with reduced diet diversity in children across nineteen countries. </w:t>
      </w:r>
      <w:r>
        <w:rPr>
          <w:rFonts w:ascii="Garamond" w:hAnsi="Garamond" w:cs="Times New Roman"/>
          <w:i/>
          <w:iCs/>
          <w:color w:val="222222"/>
          <w:shd w:val="clear" w:color="auto" w:fill="FFFFFF"/>
        </w:rPr>
        <w:t>Environmental Research Letters</w:t>
      </w:r>
      <w:r>
        <w:rPr>
          <w:rFonts w:ascii="Garamond" w:hAnsi="Garamond" w:cs="Times New Roman"/>
          <w:color w:val="222222"/>
          <w:shd w:val="clear" w:color="auto" w:fill="FFFFFF"/>
        </w:rPr>
        <w:t>, </w:t>
      </w:r>
      <w:r>
        <w:rPr>
          <w:rFonts w:ascii="Garamond" w:hAnsi="Garamond" w:cs="Times New Roman"/>
          <w:i/>
          <w:iCs/>
          <w:color w:val="222222"/>
          <w:shd w:val="clear" w:color="auto" w:fill="FFFFFF"/>
        </w:rPr>
        <w:t>16</w:t>
      </w:r>
      <w:r>
        <w:rPr>
          <w:rFonts w:ascii="Garamond" w:hAnsi="Garamond" w:cs="Times New Roman"/>
          <w:color w:val="222222"/>
          <w:shd w:val="clear" w:color="auto" w:fill="FFFFFF"/>
        </w:rPr>
        <w:t>(1), 015010.</w:t>
      </w:r>
    </w:p>
    <w:p w14:paraId="32FC8AF7">
      <w:pPr>
        <w:pStyle w:val="18"/>
        <w:numPr>
          <w:ilvl w:val="0"/>
          <w:numId w:val="1"/>
        </w:numPr>
        <w:spacing w:line="360" w:lineRule="auto"/>
        <w:ind w:firstLineChars="0"/>
        <w:jc w:val="both"/>
        <w:rPr>
          <w:rFonts w:ascii="Garamond" w:hAnsi="Garamond" w:cs="Times New Roman"/>
          <w:color w:val="222222"/>
          <w:shd w:val="clear" w:color="auto" w:fill="FFFFFF"/>
        </w:rPr>
      </w:pPr>
      <w:r>
        <w:rPr>
          <w:rFonts w:ascii="Garamond" w:hAnsi="Garamond" w:cs="Times New Roman"/>
          <w:color w:val="222222"/>
          <w:shd w:val="clear" w:color="auto" w:fill="FFFFFF"/>
        </w:rPr>
        <w:t>Richardson, M. B., Li, P., Gohlke, J. M., &amp; Allison, D. B. (2018). Effects of indoor thermal environment on human food intake, productivity, and comfort: pilot, randomized, crossover trial. </w:t>
      </w:r>
      <w:r>
        <w:rPr>
          <w:rFonts w:ascii="Garamond" w:hAnsi="Garamond" w:cs="Times New Roman"/>
          <w:i/>
          <w:iCs/>
          <w:color w:val="222222"/>
          <w:shd w:val="clear" w:color="auto" w:fill="FFFFFF"/>
        </w:rPr>
        <w:t>Obesity</w:t>
      </w:r>
      <w:r>
        <w:rPr>
          <w:rFonts w:ascii="Garamond" w:hAnsi="Garamond" w:cs="Times New Roman"/>
          <w:color w:val="222222"/>
          <w:shd w:val="clear" w:color="auto" w:fill="FFFFFF"/>
        </w:rPr>
        <w:t>, </w:t>
      </w:r>
      <w:r>
        <w:rPr>
          <w:rFonts w:ascii="Garamond" w:hAnsi="Garamond" w:cs="Times New Roman"/>
          <w:i/>
          <w:iCs/>
          <w:color w:val="222222"/>
          <w:shd w:val="clear" w:color="auto" w:fill="FFFFFF"/>
        </w:rPr>
        <w:t>26</w:t>
      </w:r>
      <w:r>
        <w:rPr>
          <w:rFonts w:ascii="Garamond" w:hAnsi="Garamond" w:cs="Times New Roman"/>
          <w:color w:val="222222"/>
          <w:shd w:val="clear" w:color="auto" w:fill="FFFFFF"/>
        </w:rPr>
        <w:t>(12), 1826-1833.</w:t>
      </w:r>
    </w:p>
    <w:p w14:paraId="53386172">
      <w:pPr>
        <w:pStyle w:val="18"/>
        <w:numPr>
          <w:ilvl w:val="0"/>
          <w:numId w:val="1"/>
        </w:numPr>
        <w:spacing w:line="360" w:lineRule="auto"/>
        <w:ind w:firstLineChars="0"/>
        <w:jc w:val="both"/>
        <w:rPr>
          <w:rFonts w:ascii="Garamond" w:hAnsi="Garamond" w:cs="Times New Roman"/>
          <w:color w:val="222222"/>
          <w:shd w:val="clear" w:color="auto" w:fill="FFFFFF"/>
        </w:rPr>
      </w:pPr>
      <w:r>
        <w:rPr>
          <w:rFonts w:ascii="Garamond" w:hAnsi="Garamond" w:cs="Times New Roman"/>
          <w:color w:val="222222"/>
          <w:shd w:val="clear" w:color="auto" w:fill="FFFFFF"/>
        </w:rPr>
        <w:t xml:space="preserve">Singh, B. K., Fraser ED, Arnold T, Biermayr-Jenzano P, Broerse JE, Brunori G, Caron P, De Schutter O, Fabbri K, Fan S, Fanzo J, et al. (2022). Food systems transformation requires science–policy–society interfaces that integrate existing global networks and new knowledge hubs. </w:t>
      </w:r>
      <w:r>
        <w:rPr>
          <w:rFonts w:ascii="Garamond" w:hAnsi="Garamond" w:cs="Times New Roman"/>
          <w:i/>
          <w:iCs/>
          <w:color w:val="222222"/>
          <w:shd w:val="clear" w:color="auto" w:fill="FFFFFF"/>
        </w:rPr>
        <w:t>Nature Food</w:t>
      </w:r>
      <w:r>
        <w:rPr>
          <w:rFonts w:ascii="Garamond" w:hAnsi="Garamond" w:cs="Times New Roman"/>
          <w:color w:val="222222"/>
          <w:shd w:val="clear" w:color="auto" w:fill="FFFFFF"/>
        </w:rPr>
        <w:t>, 1-3.</w:t>
      </w:r>
    </w:p>
    <w:p w14:paraId="01943A45">
      <w:pPr>
        <w:pStyle w:val="18"/>
        <w:widowControl w:val="0"/>
        <w:numPr>
          <w:ilvl w:val="0"/>
          <w:numId w:val="1"/>
        </w:numPr>
        <w:spacing w:line="360" w:lineRule="auto"/>
        <w:ind w:firstLineChars="0"/>
        <w:contextualSpacing/>
        <w:jc w:val="both"/>
        <w:rPr>
          <w:rFonts w:ascii="Garamond" w:hAnsi="Garamond" w:cs="Times New Roman"/>
        </w:rPr>
      </w:pPr>
      <w:r>
        <w:rPr>
          <w:rFonts w:ascii="Garamond" w:hAnsi="Garamond" w:cs="Times New Roman"/>
        </w:rPr>
        <w:t>Van Aalst, M. K. (2006). The impacts of climate change on the risk of natural disasters. Disasters, 30(1), 5-18.</w:t>
      </w:r>
    </w:p>
    <w:p w14:paraId="4059E8D4">
      <w:pPr>
        <w:pStyle w:val="18"/>
        <w:numPr>
          <w:ilvl w:val="0"/>
          <w:numId w:val="1"/>
        </w:numPr>
        <w:spacing w:line="360" w:lineRule="auto"/>
        <w:ind w:firstLineChars="0"/>
        <w:jc w:val="both"/>
        <w:rPr>
          <w:rFonts w:ascii="Garamond" w:hAnsi="Garamond" w:cs="Times New Roman"/>
          <w:color w:val="222222"/>
          <w:shd w:val="clear" w:color="auto" w:fill="FFFFFF"/>
        </w:rPr>
      </w:pPr>
      <w:r>
        <w:rPr>
          <w:rFonts w:ascii="Garamond" w:hAnsi="Garamond" w:cs="Times New Roman"/>
          <w:color w:val="222222"/>
          <w:shd w:val="clear" w:color="auto" w:fill="FFFFFF"/>
          <w:lang w:val="de-DE"/>
        </w:rPr>
        <w:t xml:space="preserve">van der Merwe, E., Clance, M., &amp; Yitbarek, E. (2022). </w:t>
      </w:r>
      <w:r>
        <w:rPr>
          <w:rFonts w:ascii="Garamond" w:hAnsi="Garamond" w:cs="Times New Roman"/>
          <w:color w:val="222222"/>
          <w:shd w:val="clear" w:color="auto" w:fill="FFFFFF"/>
        </w:rPr>
        <w:t>Climate change and child malnutrition: A Nigerian perspective. </w:t>
      </w:r>
      <w:r>
        <w:rPr>
          <w:rFonts w:ascii="Garamond" w:hAnsi="Garamond" w:cs="Times New Roman"/>
          <w:i/>
          <w:iCs/>
          <w:color w:val="222222"/>
          <w:shd w:val="clear" w:color="auto" w:fill="FFFFFF"/>
        </w:rPr>
        <w:t>Food Policy</w:t>
      </w:r>
      <w:r>
        <w:rPr>
          <w:rFonts w:ascii="Garamond" w:hAnsi="Garamond" w:cs="Times New Roman"/>
          <w:color w:val="222222"/>
          <w:shd w:val="clear" w:color="auto" w:fill="FFFFFF"/>
        </w:rPr>
        <w:t>, </w:t>
      </w:r>
      <w:r>
        <w:rPr>
          <w:rFonts w:ascii="Garamond" w:hAnsi="Garamond" w:cs="Times New Roman"/>
          <w:i/>
          <w:iCs/>
          <w:color w:val="222222"/>
          <w:shd w:val="clear" w:color="auto" w:fill="FFFFFF"/>
        </w:rPr>
        <w:t>113</w:t>
      </w:r>
      <w:r>
        <w:rPr>
          <w:rFonts w:ascii="Garamond" w:hAnsi="Garamond" w:cs="Times New Roman"/>
          <w:color w:val="222222"/>
          <w:shd w:val="clear" w:color="auto" w:fill="FFFFFF"/>
        </w:rPr>
        <w:t>, 102281.</w:t>
      </w:r>
    </w:p>
    <w:p w14:paraId="6F419C17">
      <w:pPr>
        <w:pStyle w:val="18"/>
        <w:numPr>
          <w:ilvl w:val="0"/>
          <w:numId w:val="1"/>
        </w:numPr>
        <w:spacing w:line="360" w:lineRule="auto"/>
        <w:ind w:firstLineChars="0"/>
        <w:jc w:val="both"/>
        <w:rPr>
          <w:rFonts w:ascii="Garamond" w:hAnsi="Garamond" w:cs="Times New Roman"/>
          <w:color w:val="222222"/>
          <w:shd w:val="clear" w:color="auto" w:fill="FFFFFF"/>
        </w:rPr>
      </w:pPr>
      <w:r>
        <w:rPr>
          <w:rFonts w:ascii="Garamond" w:hAnsi="Garamond" w:cs="Times New Roman"/>
          <w:color w:val="222222"/>
          <w:shd w:val="clear" w:color="auto" w:fill="FFFFFF"/>
          <w:lang w:val="de-DE"/>
        </w:rPr>
        <w:t xml:space="preserve">Wheeler, T., &amp; Von Braun, J. (2013). </w:t>
      </w:r>
      <w:r>
        <w:rPr>
          <w:rFonts w:ascii="Garamond" w:hAnsi="Garamond" w:cs="Times New Roman"/>
          <w:color w:val="222222"/>
          <w:shd w:val="clear" w:color="auto" w:fill="FFFFFF"/>
        </w:rPr>
        <w:t>Climate change impacts on global food security. </w:t>
      </w:r>
      <w:r>
        <w:rPr>
          <w:rFonts w:ascii="Garamond" w:hAnsi="Garamond" w:cs="Times New Roman"/>
          <w:i/>
          <w:iCs/>
          <w:color w:val="222222"/>
          <w:shd w:val="clear" w:color="auto" w:fill="FFFFFF"/>
        </w:rPr>
        <w:t>Science</w:t>
      </w:r>
      <w:r>
        <w:rPr>
          <w:rFonts w:ascii="Garamond" w:hAnsi="Garamond" w:cs="Times New Roman"/>
          <w:color w:val="222222"/>
          <w:shd w:val="clear" w:color="auto" w:fill="FFFFFF"/>
        </w:rPr>
        <w:t>, </w:t>
      </w:r>
      <w:r>
        <w:rPr>
          <w:rFonts w:ascii="Garamond" w:hAnsi="Garamond" w:cs="Times New Roman"/>
          <w:i/>
          <w:iCs/>
          <w:color w:val="222222"/>
          <w:shd w:val="clear" w:color="auto" w:fill="FFFFFF"/>
        </w:rPr>
        <w:t>341</w:t>
      </w:r>
      <w:r>
        <w:rPr>
          <w:rFonts w:ascii="Garamond" w:hAnsi="Garamond" w:cs="Times New Roman"/>
          <w:color w:val="222222"/>
          <w:shd w:val="clear" w:color="auto" w:fill="FFFFFF"/>
        </w:rPr>
        <w:t>(6145), 508-513.</w:t>
      </w:r>
    </w:p>
    <w:p w14:paraId="4D1E5E05">
      <w:pPr>
        <w:pStyle w:val="18"/>
        <w:numPr>
          <w:ilvl w:val="0"/>
          <w:numId w:val="1"/>
        </w:numPr>
        <w:spacing w:line="360" w:lineRule="auto"/>
        <w:ind w:firstLineChars="0"/>
        <w:jc w:val="both"/>
        <w:rPr>
          <w:rFonts w:ascii="Garamond" w:hAnsi="Garamond" w:cs="Times New Roman"/>
          <w:color w:val="222222"/>
          <w:shd w:val="clear" w:color="auto" w:fill="FFFFFF"/>
        </w:rPr>
      </w:pPr>
      <w:r>
        <w:rPr>
          <w:rFonts w:ascii="Garamond" w:hAnsi="Garamond" w:cs="Times New Roman"/>
          <w:color w:val="222222"/>
          <w:shd w:val="clear" w:color="auto" w:fill="FFFFFF"/>
        </w:rPr>
        <w:t>Xu, X., Hall, J., Byles, J., &amp; Shi, Z. (2015). Assessing dietary quality of older Chinese people using the Chinese Diet Balance Index (DBI). </w:t>
      </w:r>
      <w:r>
        <w:rPr>
          <w:rFonts w:ascii="Garamond" w:hAnsi="Garamond" w:cs="Times New Roman"/>
          <w:i/>
          <w:iCs/>
          <w:color w:val="222222"/>
          <w:shd w:val="clear" w:color="auto" w:fill="FFFFFF"/>
        </w:rPr>
        <w:t>PLoS One</w:t>
      </w:r>
      <w:r>
        <w:rPr>
          <w:rFonts w:ascii="Garamond" w:hAnsi="Garamond" w:cs="Times New Roman"/>
          <w:color w:val="222222"/>
          <w:shd w:val="clear" w:color="auto" w:fill="FFFFFF"/>
        </w:rPr>
        <w:t>, </w:t>
      </w:r>
      <w:r>
        <w:rPr>
          <w:rFonts w:ascii="Garamond" w:hAnsi="Garamond" w:cs="Times New Roman"/>
          <w:i/>
          <w:iCs/>
          <w:color w:val="222222"/>
          <w:shd w:val="clear" w:color="auto" w:fill="FFFFFF"/>
        </w:rPr>
        <w:t>10</w:t>
      </w:r>
      <w:r>
        <w:rPr>
          <w:rFonts w:ascii="Garamond" w:hAnsi="Garamond" w:cs="Times New Roman"/>
          <w:color w:val="222222"/>
          <w:shd w:val="clear" w:color="auto" w:fill="FFFFFF"/>
        </w:rPr>
        <w:t>(3), e0121618.</w:t>
      </w:r>
    </w:p>
    <w:p w14:paraId="49E5D920">
      <w:pPr>
        <w:pStyle w:val="18"/>
        <w:numPr>
          <w:ilvl w:val="0"/>
          <w:numId w:val="1"/>
        </w:numPr>
        <w:spacing w:line="360" w:lineRule="auto"/>
        <w:ind w:firstLineChars="0"/>
        <w:jc w:val="both"/>
        <w:rPr>
          <w:rFonts w:ascii="Garamond" w:hAnsi="Garamond" w:cs="Times New Roman"/>
          <w:color w:val="222222"/>
          <w:shd w:val="clear" w:color="auto" w:fill="FFFFFF"/>
        </w:rPr>
      </w:pPr>
      <w:r>
        <w:rPr>
          <w:rFonts w:ascii="Garamond" w:hAnsi="Garamond" w:cs="Times New Roman"/>
          <w:color w:val="222222"/>
          <w:shd w:val="clear" w:color="auto" w:fill="FFFFFF"/>
        </w:rPr>
        <w:t>Zakrzewski-Fruer, J. K., Horsfall, R. N., Cottrill, D., &amp; Hough, J. (2021). Acute exposure to a hot ambient temperature reduces energy intake but does not affect gut hormones in men during rest. </w:t>
      </w:r>
      <w:r>
        <w:rPr>
          <w:rFonts w:ascii="Garamond" w:hAnsi="Garamond" w:cs="Times New Roman"/>
          <w:i/>
          <w:iCs/>
          <w:color w:val="222222"/>
          <w:shd w:val="clear" w:color="auto" w:fill="FFFFFF"/>
        </w:rPr>
        <w:t>British Journal of Nutrition</w:t>
      </w:r>
      <w:r>
        <w:rPr>
          <w:rFonts w:ascii="Garamond" w:hAnsi="Garamond" w:cs="Times New Roman"/>
          <w:color w:val="222222"/>
          <w:shd w:val="clear" w:color="auto" w:fill="FFFFFF"/>
        </w:rPr>
        <w:t>, </w:t>
      </w:r>
      <w:r>
        <w:rPr>
          <w:rFonts w:ascii="Garamond" w:hAnsi="Garamond" w:cs="Times New Roman"/>
          <w:i/>
          <w:iCs/>
          <w:color w:val="222222"/>
          <w:shd w:val="clear" w:color="auto" w:fill="FFFFFF"/>
        </w:rPr>
        <w:t>125</w:t>
      </w:r>
      <w:r>
        <w:rPr>
          <w:rFonts w:ascii="Garamond" w:hAnsi="Garamond" w:cs="Times New Roman"/>
          <w:color w:val="222222"/>
          <w:shd w:val="clear" w:color="auto" w:fill="FFFFFF"/>
        </w:rPr>
        <w:t>(8), 951-959.</w:t>
      </w:r>
    </w:p>
    <w:p w14:paraId="228CA4AC">
      <w:pPr>
        <w:pStyle w:val="18"/>
        <w:numPr>
          <w:ilvl w:val="0"/>
          <w:numId w:val="1"/>
        </w:numPr>
        <w:spacing w:line="360" w:lineRule="auto"/>
        <w:ind w:firstLineChars="0"/>
        <w:jc w:val="both"/>
        <w:rPr>
          <w:rFonts w:ascii="Garamond" w:hAnsi="Garamond" w:cs="Times New Roman"/>
          <w:color w:val="222222"/>
          <w:shd w:val="clear" w:color="auto" w:fill="FFFFFF"/>
        </w:rPr>
      </w:pPr>
      <w:r>
        <w:rPr>
          <w:rFonts w:ascii="Garamond" w:hAnsi="Garamond" w:cs="Times New Roman"/>
          <w:color w:val="222222"/>
          <w:shd w:val="clear" w:color="auto" w:fill="FFFFFF"/>
        </w:rPr>
        <w:t>Zhu, C., Lopez, R. A., Gao, Y., &amp; Liu, X. (2021). The COVID</w:t>
      </w:r>
      <w:r>
        <w:rPr>
          <w:rFonts w:ascii="Cambria Math" w:hAnsi="Cambria Math" w:cs="Cambria Math"/>
          <w:color w:val="222222"/>
          <w:shd w:val="clear" w:color="auto" w:fill="FFFFFF"/>
        </w:rPr>
        <w:t>‐</w:t>
      </w:r>
      <w:r>
        <w:rPr>
          <w:rFonts w:ascii="Garamond" w:hAnsi="Garamond" w:cs="Times New Roman"/>
          <w:color w:val="222222"/>
          <w:shd w:val="clear" w:color="auto" w:fill="FFFFFF"/>
        </w:rPr>
        <w:t>19 Pandemic and Consumption of Food away from Home: Evidence from High</w:t>
      </w:r>
      <w:r>
        <w:rPr>
          <w:rFonts w:ascii="Cambria Math" w:hAnsi="Cambria Math" w:cs="Cambria Math"/>
          <w:color w:val="222222"/>
          <w:shd w:val="clear" w:color="auto" w:fill="FFFFFF"/>
        </w:rPr>
        <w:t>‐</w:t>
      </w:r>
      <w:r>
        <w:rPr>
          <w:rFonts w:ascii="Garamond" w:hAnsi="Garamond" w:cs="Times New Roman"/>
          <w:color w:val="222222"/>
          <w:shd w:val="clear" w:color="auto" w:fill="FFFFFF"/>
        </w:rPr>
        <w:t xml:space="preserve">frequency Restaurant Transaction Data. </w:t>
      </w:r>
      <w:r>
        <w:rPr>
          <w:rFonts w:ascii="Garamond" w:hAnsi="Garamond" w:cs="Times New Roman"/>
          <w:i/>
          <w:iCs/>
          <w:color w:val="222222"/>
          <w:shd w:val="clear" w:color="auto" w:fill="FFFFFF"/>
        </w:rPr>
        <w:t>China &amp; World Economy</w:t>
      </w:r>
      <w:r>
        <w:rPr>
          <w:rFonts w:ascii="Garamond" w:hAnsi="Garamond" w:cs="Times New Roman"/>
          <w:color w:val="222222"/>
          <w:shd w:val="clear" w:color="auto" w:fill="FFFFFF"/>
        </w:rPr>
        <w:t>, 29(6), 73-94.</w:t>
      </w:r>
    </w:p>
    <w:p w14:paraId="08F2BDCD">
      <w:pPr>
        <w:pStyle w:val="18"/>
        <w:numPr>
          <w:ilvl w:val="0"/>
          <w:numId w:val="1"/>
        </w:numPr>
        <w:spacing w:line="360" w:lineRule="auto"/>
        <w:ind w:firstLineChars="0"/>
        <w:jc w:val="both"/>
        <w:rPr>
          <w:rFonts w:ascii="Garamond" w:hAnsi="Garamond" w:cs="Times New Roman"/>
        </w:rPr>
      </w:pPr>
      <w:r>
        <w:rPr>
          <w:rFonts w:ascii="Garamond" w:hAnsi="Garamond" w:cs="Times New Roman"/>
        </w:rPr>
        <w:t xml:space="preserve">Zivin JSG, Song Y, Tang Q et al. (2020) Temperatures and high-states cognitive performance: evidence from the National College Entrance Examination in China. </w:t>
      </w:r>
      <w:r>
        <w:rPr>
          <w:rFonts w:ascii="Garamond" w:hAnsi="Garamond" w:cs="Times New Roman"/>
          <w:i/>
          <w:iCs/>
        </w:rPr>
        <w:t>Journal of Environmental Economics and Management</w:t>
      </w:r>
      <w:r>
        <w:rPr>
          <w:rFonts w:ascii="Garamond" w:hAnsi="Garamond" w:cs="Times New Roman"/>
        </w:rPr>
        <w:t xml:space="preserve">, </w:t>
      </w:r>
      <w:r>
        <w:rPr>
          <w:rFonts w:ascii="Garamond" w:hAnsi="Garamond" w:cs="Times New Roman"/>
          <w:b/>
          <w:bCs/>
        </w:rPr>
        <w:t xml:space="preserve">104, </w:t>
      </w:r>
      <w:r>
        <w:rPr>
          <w:rFonts w:ascii="Garamond" w:hAnsi="Garamond" w:cs="Times New Roman"/>
        </w:rPr>
        <w:t>102365.</w:t>
      </w:r>
    </w:p>
    <w:p w14:paraId="71F9EA3B">
      <w:pPr>
        <w:spacing w:line="360" w:lineRule="auto"/>
        <w:rPr>
          <w:rFonts w:ascii="Garamond" w:hAnsi="Garamond" w:cs="Times New Roman"/>
        </w:rPr>
      </w:pPr>
    </w:p>
    <w:p w14:paraId="12EC893D">
      <w:pPr>
        <w:spacing w:line="360" w:lineRule="auto"/>
        <w:rPr>
          <w:rFonts w:ascii="Garamond" w:hAnsi="Garamond" w:cs="Times New Roman"/>
        </w:rPr>
      </w:pPr>
    </w:p>
    <w:p w14:paraId="5E9C9D58">
      <w:pPr>
        <w:spacing w:line="360" w:lineRule="auto"/>
        <w:rPr>
          <w:rFonts w:ascii="Garamond" w:hAnsi="Garamond" w:cs="Times New Roman"/>
        </w:rPr>
      </w:pPr>
    </w:p>
    <w:p w14:paraId="3350E5D3">
      <w:pPr>
        <w:spacing w:line="360" w:lineRule="auto"/>
        <w:rPr>
          <w:rFonts w:ascii="Garamond" w:hAnsi="Garamond" w:cs="Times New Roman"/>
        </w:rPr>
      </w:pPr>
    </w:p>
    <w:p w14:paraId="50946E3F">
      <w:pPr>
        <w:spacing w:line="360" w:lineRule="auto"/>
        <w:rPr>
          <w:rFonts w:ascii="Garamond" w:hAnsi="Garamond" w:cs="Times New Roman"/>
        </w:rPr>
      </w:pPr>
    </w:p>
    <w:p w14:paraId="2245B516">
      <w:pPr>
        <w:spacing w:line="360" w:lineRule="auto"/>
        <w:rPr>
          <w:rFonts w:ascii="Garamond" w:hAnsi="Garamond" w:cs="Times New Roman"/>
        </w:rPr>
      </w:pPr>
    </w:p>
    <w:p w14:paraId="2E0CC524">
      <w:pPr>
        <w:spacing w:line="360" w:lineRule="auto"/>
        <w:rPr>
          <w:rFonts w:ascii="Garamond" w:hAnsi="Garamond" w:cs="Times New Roman"/>
        </w:rPr>
      </w:pPr>
    </w:p>
    <w:p w14:paraId="02174D74">
      <w:pPr>
        <w:spacing w:line="360" w:lineRule="auto"/>
        <w:rPr>
          <w:rFonts w:ascii="Garamond" w:hAnsi="Garamond" w:cs="Times New Roman"/>
        </w:rPr>
      </w:pPr>
    </w:p>
    <w:p w14:paraId="11C27064">
      <w:pPr>
        <w:spacing w:line="360" w:lineRule="auto"/>
        <w:rPr>
          <w:rFonts w:ascii="Garamond" w:hAnsi="Garamond" w:cs="Times New Roman"/>
        </w:rPr>
      </w:pPr>
    </w:p>
    <w:p w14:paraId="203A67C2">
      <w:pPr>
        <w:spacing w:line="360" w:lineRule="auto"/>
        <w:rPr>
          <w:rFonts w:ascii="Garamond" w:hAnsi="Garamond" w:cs="Times New Roman"/>
        </w:rPr>
      </w:pPr>
    </w:p>
    <w:p w14:paraId="2F7C14AF">
      <w:pPr>
        <w:spacing w:line="360" w:lineRule="auto"/>
        <w:rPr>
          <w:rFonts w:ascii="Garamond" w:hAnsi="Garamond" w:cs="Times New Roman"/>
        </w:rPr>
      </w:pPr>
    </w:p>
    <w:p w14:paraId="6057F820">
      <w:pPr>
        <w:spacing w:line="360" w:lineRule="auto"/>
        <w:rPr>
          <w:rFonts w:ascii="Garamond" w:hAnsi="Garamond" w:cs="Times New Roman"/>
        </w:rPr>
      </w:pPr>
    </w:p>
    <w:p w14:paraId="4F2C79B5">
      <w:pPr>
        <w:spacing w:line="360" w:lineRule="auto"/>
        <w:rPr>
          <w:rFonts w:ascii="Garamond" w:hAnsi="Garamond" w:cs="Times New Roman"/>
        </w:rPr>
      </w:pPr>
    </w:p>
    <w:p w14:paraId="790D1D59">
      <w:pPr>
        <w:spacing w:line="360" w:lineRule="auto"/>
        <w:rPr>
          <w:rFonts w:ascii="Garamond" w:hAnsi="Garamond" w:cs="Times New Roman"/>
        </w:rPr>
      </w:pPr>
    </w:p>
    <w:p w14:paraId="766C8D08">
      <w:pPr>
        <w:spacing w:line="360" w:lineRule="auto"/>
        <w:rPr>
          <w:rFonts w:ascii="Garamond" w:hAnsi="Garamond" w:cs="Times New Roman"/>
        </w:rPr>
      </w:pPr>
    </w:p>
    <w:p w14:paraId="166D6BBB">
      <w:pPr>
        <w:spacing w:line="360" w:lineRule="auto"/>
        <w:rPr>
          <w:rFonts w:ascii="Garamond" w:hAnsi="Garamond" w:cs="Times New Roman"/>
        </w:rPr>
      </w:pPr>
    </w:p>
    <w:p w14:paraId="2D911B37">
      <w:pPr>
        <w:spacing w:line="360" w:lineRule="auto"/>
        <w:rPr>
          <w:rFonts w:ascii="Garamond" w:hAnsi="Garamond" w:cs="Times New Roman"/>
        </w:rPr>
      </w:pPr>
    </w:p>
    <w:p w14:paraId="05821781">
      <w:pPr>
        <w:spacing w:line="360" w:lineRule="auto"/>
        <w:rPr>
          <w:rFonts w:ascii="Garamond" w:hAnsi="Garamond" w:cs="Times New Roman"/>
        </w:rPr>
      </w:pPr>
    </w:p>
    <w:p w14:paraId="74E55650">
      <w:pPr>
        <w:spacing w:line="360" w:lineRule="auto"/>
        <w:rPr>
          <w:rFonts w:ascii="Garamond" w:hAnsi="Garamond" w:cs="Times New Roman"/>
        </w:rPr>
      </w:pPr>
    </w:p>
    <w:p w14:paraId="2B1BAE4D">
      <w:pPr>
        <w:spacing w:line="360" w:lineRule="auto"/>
        <w:rPr>
          <w:rFonts w:ascii="Garamond" w:hAnsi="Garamond" w:cs="Times New Roman"/>
        </w:rPr>
      </w:pPr>
    </w:p>
    <w:p w14:paraId="61AD13EB">
      <w:pPr>
        <w:spacing w:line="360" w:lineRule="auto"/>
        <w:rPr>
          <w:rFonts w:ascii="Garamond" w:hAnsi="Garamond" w:cs="Times New Roman"/>
        </w:rPr>
      </w:pPr>
    </w:p>
    <w:p w14:paraId="7F1FACD6">
      <w:pPr>
        <w:spacing w:line="360" w:lineRule="auto"/>
        <w:rPr>
          <w:rFonts w:ascii="Garamond" w:hAnsi="Garamond" w:cs="Times New Roman"/>
        </w:rPr>
      </w:pPr>
    </w:p>
    <w:p w14:paraId="431F1170">
      <w:pPr>
        <w:spacing w:line="360" w:lineRule="auto"/>
        <w:rPr>
          <w:rFonts w:ascii="Garamond" w:hAnsi="Garamond" w:cs="Times New Roman"/>
        </w:rPr>
      </w:pPr>
    </w:p>
    <w:p w14:paraId="17C4A464">
      <w:pPr>
        <w:spacing w:line="360" w:lineRule="auto"/>
        <w:rPr>
          <w:rFonts w:ascii="Garamond" w:hAnsi="Garamond" w:cs="Times New Roman"/>
          <w:b/>
          <w:bCs/>
          <w:sz w:val="24"/>
          <w:szCs w:val="24"/>
        </w:rPr>
      </w:pPr>
      <w:r>
        <w:rPr>
          <w:rFonts w:ascii="Garamond" w:hAnsi="Garamond" w:cs="Times New Roman"/>
          <w:b/>
          <w:bCs/>
          <w:sz w:val="24"/>
          <w:szCs w:val="24"/>
        </w:rPr>
        <w:t>Appendix</w:t>
      </w:r>
    </w:p>
    <w:p w14:paraId="53EF5332">
      <w:pPr>
        <w:spacing w:line="480" w:lineRule="auto"/>
        <w:jc w:val="left"/>
        <w:rPr>
          <w:rFonts w:hint="eastAsia" w:ascii="Garamond" w:hAnsi="Garamond" w:cs="Times New Roman"/>
          <w:b/>
          <w:bCs/>
          <w:sz w:val="24"/>
          <w:szCs w:val="24"/>
        </w:rPr>
      </w:pPr>
      <w:r>
        <w:rPr>
          <w:rFonts w:hint="eastAsia" w:ascii="Garamond" w:hAnsi="Garamond"/>
          <w:b/>
          <w:bCs/>
        </w:rPr>
        <w:t xml:space="preserve">Table A1. </w:t>
      </w:r>
      <w:r>
        <w:rPr>
          <w:rFonts w:ascii="Garamond" w:hAnsi="Garamond" w:cs="Times New Roman"/>
          <w:b/>
          <w:bCs/>
          <w:sz w:val="24"/>
          <w:szCs w:val="24"/>
        </w:rPr>
        <w:t xml:space="preserve">The impact of </w:t>
      </w:r>
      <w:r>
        <w:rPr>
          <w:rFonts w:hint="eastAsia" w:ascii="Garamond" w:hAnsi="Garamond" w:cs="Times New Roman"/>
          <w:b/>
          <w:bCs/>
          <w:sz w:val="24"/>
          <w:szCs w:val="24"/>
        </w:rPr>
        <w:t>temperature, precipitation and wind speed</w:t>
      </w:r>
      <w:r>
        <w:rPr>
          <w:rFonts w:ascii="Garamond" w:hAnsi="Garamond" w:cs="Times New Roman"/>
          <w:b/>
          <w:bCs/>
          <w:sz w:val="24"/>
          <w:szCs w:val="24"/>
        </w:rPr>
        <w:t xml:space="preserve"> on diet quality </w:t>
      </w:r>
    </w:p>
    <w:tbl>
      <w:tblPr>
        <w:tblStyle w:val="9"/>
        <w:tblW w:w="5000" w:type="pct"/>
        <w:tblInd w:w="0" w:type="dxa"/>
        <w:tblLayout w:type="autofit"/>
        <w:tblCellMar>
          <w:top w:w="0" w:type="dxa"/>
          <w:left w:w="108" w:type="dxa"/>
          <w:bottom w:w="0" w:type="dxa"/>
          <w:right w:w="108" w:type="dxa"/>
        </w:tblCellMar>
      </w:tblPr>
      <w:tblGrid>
        <w:gridCol w:w="1817"/>
        <w:gridCol w:w="1727"/>
        <w:gridCol w:w="1048"/>
        <w:gridCol w:w="1739"/>
        <w:gridCol w:w="1048"/>
        <w:gridCol w:w="1536"/>
        <w:gridCol w:w="1047"/>
      </w:tblGrid>
      <w:tr w14:paraId="1CE2C507">
        <w:tblPrEx>
          <w:tblCellMar>
            <w:top w:w="0" w:type="dxa"/>
            <w:left w:w="108" w:type="dxa"/>
            <w:bottom w:w="0" w:type="dxa"/>
            <w:right w:w="108" w:type="dxa"/>
          </w:tblCellMar>
        </w:tblPrEx>
        <w:trPr>
          <w:trHeight w:val="1170" w:hRule="atLeast"/>
        </w:trPr>
        <w:tc>
          <w:tcPr>
            <w:tcW w:w="912" w:type="pct"/>
            <w:tcBorders>
              <w:top w:val="double" w:color="auto" w:sz="6" w:space="0"/>
              <w:left w:val="nil"/>
              <w:bottom w:val="single" w:color="auto" w:sz="4" w:space="0"/>
              <w:right w:val="nil"/>
            </w:tcBorders>
            <w:shd w:val="clear" w:color="auto" w:fill="auto"/>
            <w:vAlign w:val="center"/>
          </w:tcPr>
          <w:p w14:paraId="52655C8A">
            <w:pPr>
              <w:widowControl/>
              <w:jc w:val="center"/>
              <w:rPr>
                <w:rFonts w:ascii="Garamond" w:hAnsi="Garamond" w:eastAsia="Times New Roman" w:cs="Calibri"/>
                <w:b/>
                <w:bCs/>
                <w:color w:val="000000"/>
              </w:rPr>
            </w:pPr>
            <w:r>
              <w:rPr>
                <w:rFonts w:ascii="Garamond" w:hAnsi="Garamond" w:eastAsia="Times New Roman" w:cs="Calibri"/>
                <w:b/>
                <w:bCs/>
                <w:color w:val="000000"/>
              </w:rPr>
              <w:t>Outcome</w:t>
            </w:r>
          </w:p>
        </w:tc>
        <w:tc>
          <w:tcPr>
            <w:tcW w:w="867" w:type="pct"/>
            <w:tcBorders>
              <w:top w:val="double" w:color="auto" w:sz="6" w:space="0"/>
              <w:left w:val="nil"/>
              <w:bottom w:val="single" w:color="auto" w:sz="4" w:space="0"/>
              <w:right w:val="nil"/>
            </w:tcBorders>
            <w:shd w:val="clear" w:color="auto" w:fill="auto"/>
            <w:vAlign w:val="center"/>
          </w:tcPr>
          <w:p w14:paraId="714C735D">
            <w:pPr>
              <w:widowControl/>
              <w:jc w:val="center"/>
              <w:rPr>
                <w:rFonts w:ascii="Garamond" w:hAnsi="Garamond" w:eastAsia="Times New Roman" w:cs="Calibri"/>
                <w:b/>
                <w:bCs/>
                <w:color w:val="000000"/>
              </w:rPr>
            </w:pPr>
            <w:r>
              <w:rPr>
                <w:rFonts w:ascii="Garamond" w:hAnsi="Garamond" w:eastAsia="Times New Roman" w:cs="Calibri"/>
                <w:b/>
                <w:bCs/>
                <w:color w:val="000000"/>
              </w:rPr>
              <w:t>Impact of temperature</w:t>
            </w:r>
          </w:p>
        </w:tc>
        <w:tc>
          <w:tcPr>
            <w:tcW w:w="526" w:type="pct"/>
            <w:tcBorders>
              <w:top w:val="double" w:color="auto" w:sz="6" w:space="0"/>
              <w:left w:val="nil"/>
              <w:bottom w:val="single" w:color="auto" w:sz="4" w:space="0"/>
              <w:right w:val="nil"/>
            </w:tcBorders>
            <w:shd w:val="clear" w:color="auto" w:fill="auto"/>
            <w:vAlign w:val="center"/>
          </w:tcPr>
          <w:p w14:paraId="4C7C9237">
            <w:pPr>
              <w:widowControl/>
              <w:jc w:val="center"/>
              <w:rPr>
                <w:rFonts w:ascii="Garamond" w:hAnsi="Garamond" w:eastAsia="Times New Roman" w:cs="Calibri"/>
                <w:b/>
                <w:bCs/>
                <w:color w:val="000000"/>
              </w:rPr>
            </w:pPr>
            <w:r>
              <w:rPr>
                <w:rFonts w:ascii="Garamond" w:hAnsi="Garamond" w:eastAsia="Times New Roman" w:cs="Calibri"/>
                <w:b/>
                <w:bCs/>
                <w:color w:val="000000"/>
              </w:rPr>
              <w:t>P-Value</w:t>
            </w:r>
          </w:p>
        </w:tc>
        <w:tc>
          <w:tcPr>
            <w:tcW w:w="873" w:type="pct"/>
            <w:tcBorders>
              <w:top w:val="double" w:color="auto" w:sz="6" w:space="0"/>
              <w:left w:val="nil"/>
              <w:bottom w:val="single" w:color="auto" w:sz="4" w:space="0"/>
              <w:right w:val="nil"/>
            </w:tcBorders>
            <w:shd w:val="clear" w:color="auto" w:fill="auto"/>
            <w:vAlign w:val="center"/>
          </w:tcPr>
          <w:p w14:paraId="6FB0B517">
            <w:pPr>
              <w:widowControl/>
              <w:jc w:val="center"/>
              <w:rPr>
                <w:rFonts w:ascii="Garamond" w:hAnsi="Garamond" w:eastAsia="Times New Roman" w:cs="Calibri"/>
                <w:b/>
                <w:bCs/>
                <w:color w:val="000000"/>
              </w:rPr>
            </w:pPr>
            <w:r>
              <w:rPr>
                <w:rFonts w:ascii="Garamond" w:hAnsi="Garamond" w:eastAsia="Times New Roman" w:cs="Calibri"/>
                <w:b/>
                <w:bCs/>
                <w:color w:val="000000"/>
              </w:rPr>
              <w:t>Impact of precipitation</w:t>
            </w:r>
          </w:p>
        </w:tc>
        <w:tc>
          <w:tcPr>
            <w:tcW w:w="526" w:type="pct"/>
            <w:tcBorders>
              <w:top w:val="double" w:color="auto" w:sz="6" w:space="0"/>
              <w:left w:val="nil"/>
              <w:bottom w:val="single" w:color="auto" w:sz="4" w:space="0"/>
              <w:right w:val="nil"/>
            </w:tcBorders>
            <w:shd w:val="clear" w:color="auto" w:fill="auto"/>
            <w:vAlign w:val="center"/>
          </w:tcPr>
          <w:p w14:paraId="16E4BFA4">
            <w:pPr>
              <w:widowControl/>
              <w:jc w:val="center"/>
              <w:rPr>
                <w:rFonts w:ascii="Garamond" w:hAnsi="Garamond" w:eastAsia="Times New Roman" w:cs="Calibri"/>
                <w:b/>
                <w:bCs/>
                <w:color w:val="000000"/>
              </w:rPr>
            </w:pPr>
            <w:r>
              <w:rPr>
                <w:rFonts w:ascii="Garamond" w:hAnsi="Garamond" w:eastAsia="Times New Roman" w:cs="Calibri"/>
                <w:b/>
                <w:bCs/>
                <w:color w:val="000000"/>
              </w:rPr>
              <w:t>P-Value</w:t>
            </w:r>
          </w:p>
        </w:tc>
        <w:tc>
          <w:tcPr>
            <w:tcW w:w="771" w:type="pct"/>
            <w:tcBorders>
              <w:top w:val="double" w:color="auto" w:sz="6" w:space="0"/>
              <w:left w:val="nil"/>
              <w:bottom w:val="single" w:color="auto" w:sz="4" w:space="0"/>
              <w:right w:val="nil"/>
            </w:tcBorders>
            <w:shd w:val="clear" w:color="auto" w:fill="auto"/>
            <w:vAlign w:val="center"/>
          </w:tcPr>
          <w:p w14:paraId="209490C8">
            <w:pPr>
              <w:widowControl/>
              <w:jc w:val="center"/>
              <w:rPr>
                <w:rFonts w:ascii="Garamond" w:hAnsi="Garamond" w:eastAsia="Times New Roman" w:cs="Calibri"/>
                <w:b/>
                <w:bCs/>
                <w:color w:val="000000"/>
              </w:rPr>
            </w:pPr>
            <w:r>
              <w:rPr>
                <w:rFonts w:ascii="Garamond" w:hAnsi="Garamond" w:eastAsia="Times New Roman" w:cs="Calibri"/>
                <w:b/>
                <w:bCs/>
                <w:color w:val="000000"/>
              </w:rPr>
              <w:t>Impact of wind speed</w:t>
            </w:r>
          </w:p>
        </w:tc>
        <w:tc>
          <w:tcPr>
            <w:tcW w:w="526" w:type="pct"/>
            <w:tcBorders>
              <w:top w:val="double" w:color="auto" w:sz="6" w:space="0"/>
              <w:left w:val="nil"/>
              <w:bottom w:val="single" w:color="auto" w:sz="4" w:space="0"/>
              <w:right w:val="nil"/>
            </w:tcBorders>
            <w:shd w:val="clear" w:color="auto" w:fill="auto"/>
            <w:vAlign w:val="center"/>
          </w:tcPr>
          <w:p w14:paraId="66A05197">
            <w:pPr>
              <w:widowControl/>
              <w:jc w:val="center"/>
              <w:rPr>
                <w:rFonts w:ascii="Garamond" w:hAnsi="Garamond" w:eastAsia="Times New Roman" w:cs="Calibri"/>
                <w:b/>
                <w:bCs/>
                <w:color w:val="000000"/>
              </w:rPr>
            </w:pPr>
            <w:r>
              <w:rPr>
                <w:rFonts w:ascii="Garamond" w:hAnsi="Garamond" w:eastAsia="Times New Roman" w:cs="Calibri"/>
                <w:b/>
                <w:bCs/>
                <w:color w:val="000000"/>
              </w:rPr>
              <w:t>P-Value</w:t>
            </w:r>
          </w:p>
        </w:tc>
      </w:tr>
      <w:tr w14:paraId="6F89DD0E">
        <w:tblPrEx>
          <w:tblCellMar>
            <w:top w:w="0" w:type="dxa"/>
            <w:left w:w="108" w:type="dxa"/>
            <w:bottom w:w="0" w:type="dxa"/>
            <w:right w:w="108" w:type="dxa"/>
          </w:tblCellMar>
        </w:tblPrEx>
        <w:trPr>
          <w:trHeight w:val="580" w:hRule="atLeast"/>
        </w:trPr>
        <w:tc>
          <w:tcPr>
            <w:tcW w:w="912" w:type="pct"/>
            <w:tcBorders>
              <w:top w:val="nil"/>
              <w:left w:val="nil"/>
              <w:bottom w:val="nil"/>
              <w:right w:val="nil"/>
            </w:tcBorders>
            <w:shd w:val="clear" w:color="auto" w:fill="auto"/>
            <w:vAlign w:val="center"/>
          </w:tcPr>
          <w:p w14:paraId="63AF2C23">
            <w:pPr>
              <w:widowControl/>
              <w:jc w:val="left"/>
              <w:rPr>
                <w:rFonts w:ascii="Garamond" w:hAnsi="Garamond" w:eastAsia="Times New Roman" w:cs="Calibri"/>
                <w:color w:val="000000"/>
              </w:rPr>
            </w:pPr>
            <w:r>
              <w:rPr>
                <w:rFonts w:ascii="Garamond" w:hAnsi="Garamond" w:eastAsia="Times New Roman" w:cs="Calibri"/>
                <w:color w:val="000000"/>
              </w:rPr>
              <w:t>Meal Diversity (IDDS)</w:t>
            </w:r>
          </w:p>
        </w:tc>
        <w:tc>
          <w:tcPr>
            <w:tcW w:w="867" w:type="pct"/>
            <w:tcBorders>
              <w:top w:val="nil"/>
              <w:left w:val="nil"/>
              <w:bottom w:val="nil"/>
              <w:right w:val="nil"/>
            </w:tcBorders>
            <w:shd w:val="clear" w:color="auto" w:fill="auto"/>
            <w:vAlign w:val="center"/>
          </w:tcPr>
          <w:p w14:paraId="3D9DED37">
            <w:pPr>
              <w:widowControl/>
              <w:jc w:val="center"/>
              <w:rPr>
                <w:rFonts w:ascii="Garamond" w:hAnsi="Garamond" w:eastAsia="Times New Roman" w:cs="Calibri"/>
                <w:color w:val="000000"/>
              </w:rPr>
            </w:pPr>
            <w:r>
              <w:rPr>
                <w:rFonts w:ascii="Garamond" w:hAnsi="Garamond" w:eastAsia="Times New Roman" w:cs="Calibri"/>
                <w:color w:val="000000"/>
              </w:rPr>
              <w:t>-0.0005</w:t>
            </w:r>
          </w:p>
        </w:tc>
        <w:tc>
          <w:tcPr>
            <w:tcW w:w="526" w:type="pct"/>
            <w:tcBorders>
              <w:top w:val="nil"/>
              <w:left w:val="nil"/>
              <w:bottom w:val="nil"/>
              <w:right w:val="nil"/>
            </w:tcBorders>
            <w:shd w:val="clear" w:color="auto" w:fill="auto"/>
            <w:vAlign w:val="center"/>
          </w:tcPr>
          <w:p w14:paraId="093C7F7A">
            <w:pPr>
              <w:widowControl/>
              <w:jc w:val="center"/>
              <w:rPr>
                <w:rFonts w:ascii="Garamond" w:hAnsi="Garamond" w:eastAsia="Times New Roman" w:cs="Calibri"/>
                <w:color w:val="000000"/>
              </w:rPr>
            </w:pPr>
            <w:r>
              <w:rPr>
                <w:rFonts w:ascii="Garamond" w:hAnsi="Garamond" w:eastAsia="Times New Roman" w:cs="Calibri"/>
                <w:color w:val="000000"/>
              </w:rPr>
              <w:t>0.003</w:t>
            </w:r>
          </w:p>
        </w:tc>
        <w:tc>
          <w:tcPr>
            <w:tcW w:w="873" w:type="pct"/>
            <w:tcBorders>
              <w:top w:val="nil"/>
              <w:left w:val="nil"/>
              <w:bottom w:val="nil"/>
              <w:right w:val="nil"/>
            </w:tcBorders>
            <w:shd w:val="clear" w:color="auto" w:fill="auto"/>
            <w:vAlign w:val="center"/>
          </w:tcPr>
          <w:p w14:paraId="6BF6ED13">
            <w:pPr>
              <w:widowControl/>
              <w:jc w:val="center"/>
              <w:rPr>
                <w:rFonts w:ascii="Garamond" w:hAnsi="Garamond" w:eastAsia="Times New Roman" w:cs="Calibri"/>
                <w:color w:val="000000"/>
              </w:rPr>
            </w:pPr>
            <w:r>
              <w:rPr>
                <w:rFonts w:ascii="Garamond" w:hAnsi="Garamond" w:eastAsia="Times New Roman" w:cs="Calibri"/>
                <w:color w:val="000000"/>
              </w:rPr>
              <w:t>0.0002</w:t>
            </w:r>
          </w:p>
        </w:tc>
        <w:tc>
          <w:tcPr>
            <w:tcW w:w="526" w:type="pct"/>
            <w:tcBorders>
              <w:top w:val="nil"/>
              <w:left w:val="nil"/>
              <w:bottom w:val="nil"/>
              <w:right w:val="nil"/>
            </w:tcBorders>
            <w:shd w:val="clear" w:color="auto" w:fill="auto"/>
            <w:vAlign w:val="center"/>
          </w:tcPr>
          <w:p w14:paraId="0404CF72">
            <w:pPr>
              <w:widowControl/>
              <w:jc w:val="center"/>
              <w:rPr>
                <w:rFonts w:ascii="Garamond" w:hAnsi="Garamond" w:eastAsia="Times New Roman" w:cs="Calibri"/>
                <w:color w:val="000000"/>
              </w:rPr>
            </w:pPr>
            <w:r>
              <w:rPr>
                <w:rFonts w:ascii="Garamond" w:hAnsi="Garamond" w:eastAsia="Times New Roman" w:cs="Calibri"/>
                <w:color w:val="000000"/>
              </w:rPr>
              <w:t>0.017</w:t>
            </w:r>
          </w:p>
        </w:tc>
        <w:tc>
          <w:tcPr>
            <w:tcW w:w="771" w:type="pct"/>
            <w:tcBorders>
              <w:top w:val="nil"/>
              <w:left w:val="nil"/>
              <w:bottom w:val="nil"/>
              <w:right w:val="nil"/>
            </w:tcBorders>
            <w:shd w:val="clear" w:color="auto" w:fill="auto"/>
            <w:vAlign w:val="center"/>
          </w:tcPr>
          <w:p w14:paraId="43F5C745">
            <w:pPr>
              <w:widowControl/>
              <w:jc w:val="center"/>
              <w:rPr>
                <w:rFonts w:ascii="Garamond" w:hAnsi="Garamond" w:eastAsia="Times New Roman" w:cs="Calibri"/>
                <w:color w:val="000000"/>
              </w:rPr>
            </w:pPr>
            <w:r>
              <w:rPr>
                <w:rFonts w:ascii="Garamond" w:hAnsi="Garamond" w:eastAsia="Times New Roman" w:cs="Calibri"/>
                <w:color w:val="000000"/>
              </w:rPr>
              <w:t>-0.0001</w:t>
            </w:r>
          </w:p>
        </w:tc>
        <w:tc>
          <w:tcPr>
            <w:tcW w:w="526" w:type="pct"/>
            <w:tcBorders>
              <w:top w:val="nil"/>
              <w:left w:val="nil"/>
              <w:bottom w:val="nil"/>
              <w:right w:val="nil"/>
            </w:tcBorders>
            <w:shd w:val="clear" w:color="auto" w:fill="auto"/>
            <w:vAlign w:val="center"/>
          </w:tcPr>
          <w:p w14:paraId="7EF9BADC">
            <w:pPr>
              <w:widowControl/>
              <w:jc w:val="center"/>
              <w:rPr>
                <w:rFonts w:ascii="Garamond" w:hAnsi="Garamond" w:eastAsia="Times New Roman" w:cs="Calibri"/>
                <w:color w:val="000000"/>
              </w:rPr>
            </w:pPr>
            <w:r>
              <w:rPr>
                <w:rFonts w:ascii="Garamond" w:hAnsi="Garamond" w:eastAsia="Times New Roman" w:cs="Calibri"/>
                <w:color w:val="000000"/>
              </w:rPr>
              <w:t>0.721</w:t>
            </w:r>
          </w:p>
        </w:tc>
      </w:tr>
      <w:tr w14:paraId="37E9F9AC">
        <w:tblPrEx>
          <w:tblCellMar>
            <w:top w:w="0" w:type="dxa"/>
            <w:left w:w="108" w:type="dxa"/>
            <w:bottom w:w="0" w:type="dxa"/>
            <w:right w:w="108" w:type="dxa"/>
          </w:tblCellMar>
        </w:tblPrEx>
        <w:trPr>
          <w:trHeight w:val="580" w:hRule="atLeast"/>
        </w:trPr>
        <w:tc>
          <w:tcPr>
            <w:tcW w:w="912" w:type="pct"/>
            <w:tcBorders>
              <w:top w:val="nil"/>
              <w:left w:val="nil"/>
              <w:bottom w:val="nil"/>
              <w:right w:val="nil"/>
            </w:tcBorders>
            <w:shd w:val="clear" w:color="auto" w:fill="auto"/>
            <w:vAlign w:val="center"/>
          </w:tcPr>
          <w:p w14:paraId="244F3AB7">
            <w:pPr>
              <w:widowControl/>
              <w:jc w:val="left"/>
              <w:rPr>
                <w:rFonts w:ascii="Garamond" w:hAnsi="Garamond" w:eastAsia="Times New Roman" w:cs="Calibri"/>
                <w:color w:val="000000"/>
              </w:rPr>
            </w:pPr>
            <w:r>
              <w:rPr>
                <w:rFonts w:ascii="Garamond" w:hAnsi="Garamond" w:eastAsia="Times New Roman" w:cs="Calibri"/>
                <w:color w:val="000000"/>
              </w:rPr>
              <w:t>Meal Imbalance (DQD)</w:t>
            </w:r>
          </w:p>
        </w:tc>
        <w:tc>
          <w:tcPr>
            <w:tcW w:w="867" w:type="pct"/>
            <w:tcBorders>
              <w:top w:val="nil"/>
              <w:left w:val="nil"/>
              <w:bottom w:val="nil"/>
              <w:right w:val="nil"/>
            </w:tcBorders>
            <w:shd w:val="clear" w:color="auto" w:fill="auto"/>
            <w:vAlign w:val="center"/>
          </w:tcPr>
          <w:p w14:paraId="28C55750">
            <w:pPr>
              <w:widowControl/>
              <w:jc w:val="center"/>
              <w:rPr>
                <w:rFonts w:ascii="Garamond" w:hAnsi="Garamond" w:eastAsia="Times New Roman" w:cs="Calibri"/>
                <w:color w:val="000000"/>
              </w:rPr>
            </w:pPr>
            <w:r>
              <w:rPr>
                <w:rFonts w:ascii="Garamond" w:hAnsi="Garamond" w:eastAsia="Times New Roman" w:cs="Calibri"/>
                <w:color w:val="000000"/>
              </w:rPr>
              <w:t>0.009</w:t>
            </w:r>
          </w:p>
        </w:tc>
        <w:tc>
          <w:tcPr>
            <w:tcW w:w="526" w:type="pct"/>
            <w:tcBorders>
              <w:top w:val="nil"/>
              <w:left w:val="nil"/>
              <w:bottom w:val="nil"/>
              <w:right w:val="nil"/>
            </w:tcBorders>
            <w:shd w:val="clear" w:color="auto" w:fill="auto"/>
            <w:vAlign w:val="center"/>
          </w:tcPr>
          <w:p w14:paraId="1535ADA1">
            <w:pPr>
              <w:widowControl/>
              <w:jc w:val="center"/>
              <w:rPr>
                <w:rFonts w:ascii="Garamond" w:hAnsi="Garamond" w:eastAsia="Times New Roman" w:cs="Calibri"/>
                <w:color w:val="000000"/>
              </w:rPr>
            </w:pPr>
            <w:r>
              <w:rPr>
                <w:rFonts w:ascii="Garamond" w:hAnsi="Garamond" w:eastAsia="Times New Roman" w:cs="Calibri"/>
                <w:color w:val="000000"/>
              </w:rPr>
              <w:t>0.001</w:t>
            </w:r>
          </w:p>
        </w:tc>
        <w:tc>
          <w:tcPr>
            <w:tcW w:w="873" w:type="pct"/>
            <w:tcBorders>
              <w:top w:val="nil"/>
              <w:left w:val="nil"/>
              <w:bottom w:val="nil"/>
              <w:right w:val="nil"/>
            </w:tcBorders>
            <w:shd w:val="clear" w:color="auto" w:fill="auto"/>
            <w:vAlign w:val="center"/>
          </w:tcPr>
          <w:p w14:paraId="49A25136">
            <w:pPr>
              <w:widowControl/>
              <w:jc w:val="center"/>
              <w:rPr>
                <w:rFonts w:ascii="Garamond" w:hAnsi="Garamond" w:eastAsia="Times New Roman" w:cs="Calibri"/>
                <w:color w:val="000000"/>
              </w:rPr>
            </w:pPr>
            <w:r>
              <w:rPr>
                <w:rFonts w:ascii="Garamond" w:hAnsi="Garamond" w:eastAsia="Times New Roman" w:cs="Calibri"/>
                <w:color w:val="000000"/>
              </w:rPr>
              <w:t>-0.001</w:t>
            </w:r>
          </w:p>
        </w:tc>
        <w:tc>
          <w:tcPr>
            <w:tcW w:w="526" w:type="pct"/>
            <w:tcBorders>
              <w:top w:val="nil"/>
              <w:left w:val="nil"/>
              <w:bottom w:val="nil"/>
              <w:right w:val="nil"/>
            </w:tcBorders>
            <w:shd w:val="clear" w:color="auto" w:fill="auto"/>
            <w:vAlign w:val="center"/>
          </w:tcPr>
          <w:p w14:paraId="2FC44BC5">
            <w:pPr>
              <w:widowControl/>
              <w:jc w:val="center"/>
              <w:rPr>
                <w:rFonts w:ascii="Garamond" w:hAnsi="Garamond" w:eastAsia="Times New Roman" w:cs="Calibri"/>
                <w:color w:val="000000"/>
              </w:rPr>
            </w:pPr>
            <w:r>
              <w:rPr>
                <w:rFonts w:ascii="Garamond" w:hAnsi="Garamond" w:eastAsia="Times New Roman" w:cs="Calibri"/>
                <w:color w:val="000000"/>
              </w:rPr>
              <w:t>0.005</w:t>
            </w:r>
          </w:p>
        </w:tc>
        <w:tc>
          <w:tcPr>
            <w:tcW w:w="771" w:type="pct"/>
            <w:tcBorders>
              <w:top w:val="nil"/>
              <w:left w:val="nil"/>
              <w:bottom w:val="nil"/>
              <w:right w:val="nil"/>
            </w:tcBorders>
            <w:shd w:val="clear" w:color="auto" w:fill="auto"/>
            <w:vAlign w:val="center"/>
          </w:tcPr>
          <w:p w14:paraId="4A54A4DE">
            <w:pPr>
              <w:widowControl/>
              <w:jc w:val="center"/>
              <w:rPr>
                <w:rFonts w:ascii="Garamond" w:hAnsi="Garamond" w:eastAsia="Times New Roman" w:cs="Calibri"/>
                <w:color w:val="000000"/>
              </w:rPr>
            </w:pPr>
            <w:r>
              <w:rPr>
                <w:rFonts w:ascii="Garamond" w:hAnsi="Garamond" w:eastAsia="Times New Roman" w:cs="Calibri"/>
                <w:color w:val="000000"/>
              </w:rPr>
              <w:t>0.003</w:t>
            </w:r>
          </w:p>
        </w:tc>
        <w:tc>
          <w:tcPr>
            <w:tcW w:w="526" w:type="pct"/>
            <w:tcBorders>
              <w:top w:val="nil"/>
              <w:left w:val="nil"/>
              <w:bottom w:val="nil"/>
              <w:right w:val="nil"/>
            </w:tcBorders>
            <w:shd w:val="clear" w:color="auto" w:fill="auto"/>
            <w:vAlign w:val="center"/>
          </w:tcPr>
          <w:p w14:paraId="58E4A96C">
            <w:pPr>
              <w:widowControl/>
              <w:jc w:val="center"/>
              <w:rPr>
                <w:rFonts w:ascii="Garamond" w:hAnsi="Garamond" w:eastAsia="Times New Roman" w:cs="Calibri"/>
                <w:color w:val="000000"/>
              </w:rPr>
            </w:pPr>
            <w:r>
              <w:rPr>
                <w:rFonts w:ascii="Garamond" w:hAnsi="Garamond" w:eastAsia="Times New Roman" w:cs="Calibri"/>
                <w:color w:val="000000"/>
              </w:rPr>
              <w:t>0.145</w:t>
            </w:r>
          </w:p>
        </w:tc>
      </w:tr>
      <w:tr w14:paraId="05B5D697">
        <w:tblPrEx>
          <w:tblCellMar>
            <w:top w:w="0" w:type="dxa"/>
            <w:left w:w="108" w:type="dxa"/>
            <w:bottom w:w="0" w:type="dxa"/>
            <w:right w:w="108" w:type="dxa"/>
          </w:tblCellMar>
        </w:tblPrEx>
        <w:trPr>
          <w:trHeight w:val="580" w:hRule="atLeast"/>
        </w:trPr>
        <w:tc>
          <w:tcPr>
            <w:tcW w:w="912" w:type="pct"/>
            <w:tcBorders>
              <w:top w:val="nil"/>
              <w:left w:val="nil"/>
              <w:bottom w:val="single" w:color="auto" w:sz="4" w:space="0"/>
              <w:right w:val="nil"/>
            </w:tcBorders>
            <w:shd w:val="clear" w:color="auto" w:fill="auto"/>
            <w:vAlign w:val="center"/>
          </w:tcPr>
          <w:p w14:paraId="30725156">
            <w:pPr>
              <w:widowControl/>
              <w:jc w:val="left"/>
              <w:rPr>
                <w:rFonts w:ascii="Garamond" w:hAnsi="Garamond" w:eastAsia="Times New Roman" w:cs="Calibri"/>
                <w:color w:val="000000"/>
              </w:rPr>
            </w:pPr>
            <w:r>
              <w:rPr>
                <w:rFonts w:ascii="Garamond" w:hAnsi="Garamond" w:eastAsia="Times New Roman" w:cs="Calibri"/>
                <w:color w:val="000000"/>
              </w:rPr>
              <w:t>Meal Quality (HEI-2015)</w:t>
            </w:r>
          </w:p>
        </w:tc>
        <w:tc>
          <w:tcPr>
            <w:tcW w:w="867" w:type="pct"/>
            <w:tcBorders>
              <w:top w:val="nil"/>
              <w:left w:val="nil"/>
              <w:bottom w:val="single" w:color="auto" w:sz="4" w:space="0"/>
              <w:right w:val="nil"/>
            </w:tcBorders>
            <w:shd w:val="clear" w:color="auto" w:fill="auto"/>
            <w:vAlign w:val="center"/>
          </w:tcPr>
          <w:p w14:paraId="2156CDEB">
            <w:pPr>
              <w:widowControl/>
              <w:jc w:val="center"/>
              <w:rPr>
                <w:rFonts w:ascii="Garamond" w:hAnsi="Garamond" w:eastAsia="Times New Roman" w:cs="Calibri"/>
                <w:color w:val="000000"/>
              </w:rPr>
            </w:pPr>
            <w:r>
              <w:rPr>
                <w:rFonts w:ascii="Garamond" w:hAnsi="Garamond" w:eastAsia="Times New Roman" w:cs="Calibri"/>
                <w:color w:val="000000"/>
              </w:rPr>
              <w:t>-0.007</w:t>
            </w:r>
          </w:p>
        </w:tc>
        <w:tc>
          <w:tcPr>
            <w:tcW w:w="526" w:type="pct"/>
            <w:tcBorders>
              <w:top w:val="nil"/>
              <w:left w:val="nil"/>
              <w:bottom w:val="single" w:color="auto" w:sz="4" w:space="0"/>
              <w:right w:val="nil"/>
            </w:tcBorders>
            <w:shd w:val="clear" w:color="auto" w:fill="auto"/>
            <w:vAlign w:val="center"/>
          </w:tcPr>
          <w:p w14:paraId="130D1D24">
            <w:pPr>
              <w:widowControl/>
              <w:jc w:val="center"/>
              <w:rPr>
                <w:rFonts w:ascii="Garamond" w:hAnsi="Garamond" w:eastAsia="Times New Roman" w:cs="Calibri"/>
                <w:color w:val="000000"/>
              </w:rPr>
            </w:pPr>
            <w:r>
              <w:rPr>
                <w:rFonts w:ascii="Garamond" w:hAnsi="Garamond" w:eastAsia="Times New Roman" w:cs="Calibri"/>
                <w:color w:val="000000"/>
              </w:rPr>
              <w:t>0.001</w:t>
            </w:r>
          </w:p>
        </w:tc>
        <w:tc>
          <w:tcPr>
            <w:tcW w:w="873" w:type="pct"/>
            <w:tcBorders>
              <w:top w:val="nil"/>
              <w:left w:val="nil"/>
              <w:bottom w:val="single" w:color="auto" w:sz="4" w:space="0"/>
              <w:right w:val="nil"/>
            </w:tcBorders>
            <w:shd w:val="clear" w:color="auto" w:fill="auto"/>
            <w:vAlign w:val="center"/>
          </w:tcPr>
          <w:p w14:paraId="48DB8BFF">
            <w:pPr>
              <w:widowControl/>
              <w:jc w:val="center"/>
              <w:rPr>
                <w:rFonts w:ascii="Garamond" w:hAnsi="Garamond" w:eastAsia="Times New Roman" w:cs="Calibri"/>
                <w:color w:val="000000"/>
              </w:rPr>
            </w:pPr>
            <w:r>
              <w:rPr>
                <w:rFonts w:ascii="Garamond" w:hAnsi="Garamond" w:eastAsia="Times New Roman" w:cs="Calibri"/>
                <w:color w:val="000000"/>
              </w:rPr>
              <w:t>0.002</w:t>
            </w:r>
          </w:p>
        </w:tc>
        <w:tc>
          <w:tcPr>
            <w:tcW w:w="526" w:type="pct"/>
            <w:tcBorders>
              <w:top w:val="nil"/>
              <w:left w:val="nil"/>
              <w:bottom w:val="single" w:color="auto" w:sz="4" w:space="0"/>
              <w:right w:val="nil"/>
            </w:tcBorders>
            <w:shd w:val="clear" w:color="auto" w:fill="auto"/>
            <w:vAlign w:val="center"/>
          </w:tcPr>
          <w:p w14:paraId="7C74E4A0">
            <w:pPr>
              <w:widowControl/>
              <w:jc w:val="center"/>
              <w:rPr>
                <w:rFonts w:ascii="Garamond" w:hAnsi="Garamond" w:eastAsia="Times New Roman" w:cs="Calibri"/>
                <w:color w:val="000000"/>
              </w:rPr>
            </w:pPr>
            <w:r>
              <w:rPr>
                <w:rFonts w:ascii="Garamond" w:hAnsi="Garamond" w:eastAsia="Times New Roman" w:cs="Calibri"/>
                <w:color w:val="000000"/>
              </w:rPr>
              <w:t>0.003</w:t>
            </w:r>
          </w:p>
        </w:tc>
        <w:tc>
          <w:tcPr>
            <w:tcW w:w="771" w:type="pct"/>
            <w:tcBorders>
              <w:top w:val="nil"/>
              <w:left w:val="nil"/>
              <w:bottom w:val="single" w:color="auto" w:sz="4" w:space="0"/>
              <w:right w:val="nil"/>
            </w:tcBorders>
            <w:shd w:val="clear" w:color="auto" w:fill="auto"/>
            <w:vAlign w:val="center"/>
          </w:tcPr>
          <w:p w14:paraId="0B51A175">
            <w:pPr>
              <w:widowControl/>
              <w:jc w:val="center"/>
              <w:rPr>
                <w:rFonts w:ascii="Garamond" w:hAnsi="Garamond" w:eastAsia="Times New Roman" w:cs="Calibri"/>
                <w:color w:val="000000"/>
              </w:rPr>
            </w:pPr>
            <w:r>
              <w:rPr>
                <w:rFonts w:ascii="Garamond" w:hAnsi="Garamond" w:eastAsia="Times New Roman" w:cs="Calibri"/>
                <w:color w:val="000000"/>
              </w:rPr>
              <w:t>0.000</w:t>
            </w:r>
          </w:p>
        </w:tc>
        <w:tc>
          <w:tcPr>
            <w:tcW w:w="526" w:type="pct"/>
            <w:tcBorders>
              <w:top w:val="nil"/>
              <w:left w:val="nil"/>
              <w:bottom w:val="single" w:color="auto" w:sz="4" w:space="0"/>
              <w:right w:val="nil"/>
            </w:tcBorders>
            <w:shd w:val="clear" w:color="auto" w:fill="auto"/>
            <w:vAlign w:val="center"/>
          </w:tcPr>
          <w:p w14:paraId="45DDE650">
            <w:pPr>
              <w:widowControl/>
              <w:jc w:val="center"/>
              <w:rPr>
                <w:rFonts w:ascii="Garamond" w:hAnsi="Garamond" w:eastAsia="Times New Roman" w:cs="Calibri"/>
                <w:color w:val="000000"/>
              </w:rPr>
            </w:pPr>
            <w:r>
              <w:rPr>
                <w:rFonts w:ascii="Garamond" w:hAnsi="Garamond" w:eastAsia="Times New Roman" w:cs="Calibri"/>
                <w:color w:val="000000"/>
              </w:rPr>
              <w:t>0.827</w:t>
            </w:r>
          </w:p>
        </w:tc>
      </w:tr>
      <w:tr w14:paraId="6505623A">
        <w:tblPrEx>
          <w:tblCellMar>
            <w:top w:w="0" w:type="dxa"/>
            <w:left w:w="108" w:type="dxa"/>
            <w:bottom w:w="0" w:type="dxa"/>
            <w:right w:w="108" w:type="dxa"/>
          </w:tblCellMar>
        </w:tblPrEx>
        <w:trPr>
          <w:trHeight w:val="290" w:hRule="atLeast"/>
        </w:trPr>
        <w:tc>
          <w:tcPr>
            <w:tcW w:w="912" w:type="pct"/>
            <w:tcBorders>
              <w:top w:val="nil"/>
              <w:left w:val="nil"/>
              <w:bottom w:val="nil"/>
              <w:right w:val="nil"/>
            </w:tcBorders>
            <w:shd w:val="clear" w:color="auto" w:fill="auto"/>
            <w:noWrap/>
            <w:vAlign w:val="bottom"/>
          </w:tcPr>
          <w:p w14:paraId="4FAB4ACA">
            <w:pPr>
              <w:widowControl/>
              <w:jc w:val="right"/>
              <w:rPr>
                <w:rFonts w:ascii="Garamond" w:hAnsi="Garamond" w:eastAsia="Times New Roman" w:cs="Calibri"/>
                <w:color w:val="000000"/>
              </w:rPr>
            </w:pPr>
          </w:p>
        </w:tc>
        <w:tc>
          <w:tcPr>
            <w:tcW w:w="867" w:type="pct"/>
            <w:tcBorders>
              <w:top w:val="nil"/>
              <w:left w:val="nil"/>
              <w:bottom w:val="nil"/>
              <w:right w:val="nil"/>
            </w:tcBorders>
            <w:shd w:val="clear" w:color="auto" w:fill="auto"/>
            <w:noWrap/>
            <w:vAlign w:val="bottom"/>
          </w:tcPr>
          <w:p w14:paraId="56B4B706">
            <w:pPr>
              <w:widowControl/>
              <w:jc w:val="left"/>
              <w:rPr>
                <w:rFonts w:ascii="Garamond" w:hAnsi="Garamond" w:eastAsia="Times New Roman" w:cs="Times New Roman"/>
                <w:sz w:val="20"/>
                <w:szCs w:val="20"/>
              </w:rPr>
            </w:pPr>
          </w:p>
        </w:tc>
        <w:tc>
          <w:tcPr>
            <w:tcW w:w="526" w:type="pct"/>
            <w:tcBorders>
              <w:top w:val="nil"/>
              <w:left w:val="nil"/>
              <w:bottom w:val="nil"/>
              <w:right w:val="nil"/>
            </w:tcBorders>
            <w:shd w:val="clear" w:color="auto" w:fill="auto"/>
            <w:noWrap/>
            <w:vAlign w:val="bottom"/>
          </w:tcPr>
          <w:p w14:paraId="20531B6A">
            <w:pPr>
              <w:widowControl/>
              <w:jc w:val="left"/>
              <w:rPr>
                <w:rFonts w:ascii="Garamond" w:hAnsi="Garamond" w:eastAsia="Times New Roman" w:cs="Times New Roman"/>
                <w:sz w:val="20"/>
                <w:szCs w:val="20"/>
              </w:rPr>
            </w:pPr>
          </w:p>
        </w:tc>
        <w:tc>
          <w:tcPr>
            <w:tcW w:w="873" w:type="pct"/>
            <w:tcBorders>
              <w:top w:val="nil"/>
              <w:left w:val="nil"/>
              <w:bottom w:val="nil"/>
              <w:right w:val="nil"/>
            </w:tcBorders>
            <w:shd w:val="clear" w:color="auto" w:fill="auto"/>
            <w:noWrap/>
            <w:vAlign w:val="bottom"/>
          </w:tcPr>
          <w:p w14:paraId="43E76EB0">
            <w:pPr>
              <w:widowControl/>
              <w:jc w:val="left"/>
              <w:rPr>
                <w:rFonts w:ascii="Garamond" w:hAnsi="Garamond" w:eastAsia="Times New Roman" w:cs="Times New Roman"/>
                <w:sz w:val="20"/>
                <w:szCs w:val="20"/>
              </w:rPr>
            </w:pPr>
          </w:p>
        </w:tc>
        <w:tc>
          <w:tcPr>
            <w:tcW w:w="526" w:type="pct"/>
            <w:tcBorders>
              <w:top w:val="nil"/>
              <w:left w:val="nil"/>
              <w:bottom w:val="nil"/>
              <w:right w:val="nil"/>
            </w:tcBorders>
            <w:shd w:val="clear" w:color="auto" w:fill="auto"/>
            <w:noWrap/>
            <w:vAlign w:val="bottom"/>
          </w:tcPr>
          <w:p w14:paraId="1E5CA5F2">
            <w:pPr>
              <w:widowControl/>
              <w:jc w:val="left"/>
              <w:rPr>
                <w:rFonts w:ascii="Garamond" w:hAnsi="Garamond" w:eastAsia="Times New Roman" w:cs="Times New Roman"/>
                <w:sz w:val="20"/>
                <w:szCs w:val="20"/>
              </w:rPr>
            </w:pPr>
          </w:p>
        </w:tc>
        <w:tc>
          <w:tcPr>
            <w:tcW w:w="771" w:type="pct"/>
            <w:tcBorders>
              <w:top w:val="nil"/>
              <w:left w:val="nil"/>
              <w:bottom w:val="nil"/>
              <w:right w:val="nil"/>
            </w:tcBorders>
            <w:shd w:val="clear" w:color="auto" w:fill="auto"/>
            <w:noWrap/>
            <w:vAlign w:val="bottom"/>
          </w:tcPr>
          <w:p w14:paraId="635EC545">
            <w:pPr>
              <w:widowControl/>
              <w:jc w:val="left"/>
              <w:rPr>
                <w:rFonts w:ascii="Garamond" w:hAnsi="Garamond" w:eastAsia="Times New Roman" w:cs="Times New Roman"/>
                <w:sz w:val="20"/>
                <w:szCs w:val="20"/>
              </w:rPr>
            </w:pPr>
          </w:p>
        </w:tc>
        <w:tc>
          <w:tcPr>
            <w:tcW w:w="526" w:type="pct"/>
            <w:tcBorders>
              <w:top w:val="nil"/>
              <w:left w:val="nil"/>
              <w:bottom w:val="nil"/>
              <w:right w:val="nil"/>
            </w:tcBorders>
            <w:shd w:val="clear" w:color="auto" w:fill="auto"/>
            <w:noWrap/>
            <w:vAlign w:val="bottom"/>
          </w:tcPr>
          <w:p w14:paraId="4B5A70E2">
            <w:pPr>
              <w:widowControl/>
              <w:jc w:val="left"/>
              <w:rPr>
                <w:rFonts w:ascii="Garamond" w:hAnsi="Garamond" w:eastAsia="Times New Roman" w:cs="Times New Roman"/>
                <w:sz w:val="20"/>
                <w:szCs w:val="20"/>
              </w:rPr>
            </w:pPr>
          </w:p>
        </w:tc>
      </w:tr>
      <w:tr w14:paraId="4D56FD2E">
        <w:tblPrEx>
          <w:tblCellMar>
            <w:top w:w="0" w:type="dxa"/>
            <w:left w:w="108" w:type="dxa"/>
            <w:bottom w:w="0" w:type="dxa"/>
            <w:right w:w="108" w:type="dxa"/>
          </w:tblCellMar>
        </w:tblPrEx>
        <w:trPr>
          <w:trHeight w:val="300" w:hRule="atLeast"/>
        </w:trPr>
        <w:tc>
          <w:tcPr>
            <w:tcW w:w="5000" w:type="pct"/>
            <w:gridSpan w:val="7"/>
            <w:tcBorders>
              <w:top w:val="nil"/>
              <w:left w:val="nil"/>
              <w:bottom w:val="nil"/>
            </w:tcBorders>
            <w:shd w:val="clear" w:color="auto" w:fill="auto"/>
            <w:noWrap/>
            <w:vAlign w:val="bottom"/>
          </w:tcPr>
          <w:p w14:paraId="5359A9D6">
            <w:pPr>
              <w:widowControl/>
              <w:jc w:val="left"/>
              <w:rPr>
                <w:rFonts w:ascii="Garamond" w:hAnsi="Garamond" w:cs="Times New Roman"/>
                <w:sz w:val="20"/>
                <w:szCs w:val="20"/>
              </w:rPr>
            </w:pPr>
          </w:p>
          <w:p w14:paraId="19B72D2D">
            <w:pPr>
              <w:widowControl/>
              <w:jc w:val="left"/>
              <w:rPr>
                <w:rFonts w:hint="eastAsia" w:ascii="Garamond" w:hAnsi="Garamond" w:cs="Times New Roman"/>
                <w:sz w:val="20"/>
                <w:szCs w:val="20"/>
              </w:rPr>
            </w:pPr>
            <w:r>
              <w:rPr>
                <w:rFonts w:hint="eastAsia" w:ascii="Garamond" w:hAnsi="Garamond"/>
                <w:b/>
                <w:bCs/>
              </w:rPr>
              <w:t xml:space="preserve">Table A2. </w:t>
            </w:r>
            <w:r>
              <w:rPr>
                <w:rFonts w:ascii="Garamond" w:hAnsi="Garamond" w:cs="Times New Roman"/>
                <w:b/>
                <w:bCs/>
                <w:sz w:val="24"/>
                <w:szCs w:val="24"/>
              </w:rPr>
              <w:t xml:space="preserve">The impact of </w:t>
            </w:r>
            <w:r>
              <w:rPr>
                <w:rFonts w:hint="eastAsia" w:ascii="Garamond" w:hAnsi="Garamond" w:cs="Times New Roman"/>
                <w:b/>
                <w:bCs/>
                <w:sz w:val="24"/>
                <w:szCs w:val="24"/>
              </w:rPr>
              <w:t>heat wave</w:t>
            </w:r>
            <w:r>
              <w:rPr>
                <w:rFonts w:ascii="Garamond" w:hAnsi="Garamond" w:cs="Times New Roman"/>
                <w:b/>
                <w:bCs/>
                <w:sz w:val="24"/>
                <w:szCs w:val="24"/>
              </w:rPr>
              <w:t xml:space="preserve"> on diet qualit</w:t>
            </w:r>
            <w:r>
              <w:rPr>
                <w:rFonts w:hint="eastAsia" w:ascii="Garamond" w:hAnsi="Garamond" w:cs="Times New Roman"/>
                <w:b/>
                <w:bCs/>
                <w:sz w:val="24"/>
                <w:szCs w:val="24"/>
              </w:rPr>
              <w:t>y</w:t>
            </w:r>
          </w:p>
          <w:p w14:paraId="18164D4A">
            <w:pPr>
              <w:widowControl/>
              <w:jc w:val="left"/>
              <w:rPr>
                <w:rFonts w:ascii="Garamond" w:hAnsi="Garamond" w:eastAsia="Times New Roman" w:cs="Times New Roman"/>
                <w:sz w:val="20"/>
                <w:szCs w:val="20"/>
              </w:rPr>
            </w:pPr>
          </w:p>
        </w:tc>
      </w:tr>
      <w:tr w14:paraId="180D66C8">
        <w:tblPrEx>
          <w:tblCellMar>
            <w:top w:w="0" w:type="dxa"/>
            <w:left w:w="108" w:type="dxa"/>
            <w:bottom w:w="0" w:type="dxa"/>
            <w:right w:w="108" w:type="dxa"/>
          </w:tblCellMar>
        </w:tblPrEx>
        <w:trPr>
          <w:trHeight w:val="1750" w:hRule="atLeast"/>
        </w:trPr>
        <w:tc>
          <w:tcPr>
            <w:tcW w:w="912" w:type="pct"/>
            <w:tcBorders>
              <w:top w:val="double" w:color="auto" w:sz="6" w:space="0"/>
              <w:left w:val="nil"/>
              <w:bottom w:val="single" w:color="auto" w:sz="4" w:space="0"/>
              <w:right w:val="nil"/>
            </w:tcBorders>
            <w:shd w:val="clear" w:color="auto" w:fill="auto"/>
            <w:vAlign w:val="center"/>
          </w:tcPr>
          <w:p w14:paraId="6DCC2E1E">
            <w:pPr>
              <w:widowControl/>
              <w:jc w:val="center"/>
              <w:rPr>
                <w:rFonts w:ascii="Garamond" w:hAnsi="Garamond" w:eastAsia="Times New Roman" w:cs="Calibri"/>
                <w:b/>
                <w:bCs/>
                <w:color w:val="000000"/>
              </w:rPr>
            </w:pPr>
            <w:r>
              <w:rPr>
                <w:rFonts w:ascii="Garamond" w:hAnsi="Garamond" w:eastAsia="Times New Roman" w:cs="Calibri"/>
                <w:b/>
                <w:bCs/>
                <w:color w:val="000000"/>
              </w:rPr>
              <w:t>Outcome</w:t>
            </w:r>
          </w:p>
        </w:tc>
        <w:tc>
          <w:tcPr>
            <w:tcW w:w="867" w:type="pct"/>
            <w:tcBorders>
              <w:top w:val="double" w:color="auto" w:sz="6" w:space="0"/>
              <w:left w:val="nil"/>
              <w:bottom w:val="single" w:color="auto" w:sz="4" w:space="0"/>
              <w:right w:val="nil"/>
            </w:tcBorders>
            <w:shd w:val="clear" w:color="auto" w:fill="auto"/>
            <w:vAlign w:val="center"/>
          </w:tcPr>
          <w:p w14:paraId="5C29C40F">
            <w:pPr>
              <w:widowControl/>
              <w:jc w:val="center"/>
              <w:rPr>
                <w:rFonts w:ascii="Garamond" w:hAnsi="Garamond" w:eastAsia="Times New Roman" w:cs="Calibri"/>
                <w:b/>
                <w:bCs/>
                <w:color w:val="000000"/>
              </w:rPr>
            </w:pPr>
            <w:r>
              <w:rPr>
                <w:rFonts w:ascii="Garamond" w:hAnsi="Garamond" w:eastAsia="Times New Roman" w:cs="Calibri"/>
                <w:b/>
                <w:bCs/>
                <w:color w:val="000000"/>
              </w:rPr>
              <w:t>Impact of heat wave</w:t>
            </w:r>
          </w:p>
        </w:tc>
        <w:tc>
          <w:tcPr>
            <w:tcW w:w="526" w:type="pct"/>
            <w:tcBorders>
              <w:top w:val="double" w:color="auto" w:sz="6" w:space="0"/>
              <w:left w:val="nil"/>
              <w:bottom w:val="single" w:color="auto" w:sz="4" w:space="0"/>
              <w:right w:val="nil"/>
            </w:tcBorders>
            <w:shd w:val="clear" w:color="auto" w:fill="auto"/>
            <w:vAlign w:val="center"/>
          </w:tcPr>
          <w:p w14:paraId="4BBDFA56">
            <w:pPr>
              <w:widowControl/>
              <w:jc w:val="center"/>
              <w:rPr>
                <w:rFonts w:ascii="Garamond" w:hAnsi="Garamond" w:eastAsia="Times New Roman" w:cs="Calibri"/>
                <w:b/>
                <w:bCs/>
                <w:color w:val="000000"/>
              </w:rPr>
            </w:pPr>
            <w:r>
              <w:rPr>
                <w:rFonts w:ascii="Garamond" w:hAnsi="Garamond" w:eastAsia="Times New Roman" w:cs="Calibri"/>
                <w:b/>
                <w:bCs/>
                <w:color w:val="000000"/>
              </w:rPr>
              <w:t>P-Value</w:t>
            </w:r>
          </w:p>
        </w:tc>
        <w:tc>
          <w:tcPr>
            <w:tcW w:w="873" w:type="pct"/>
            <w:tcBorders>
              <w:top w:val="double" w:color="auto" w:sz="6" w:space="0"/>
              <w:left w:val="nil"/>
              <w:bottom w:val="single" w:color="auto" w:sz="4" w:space="0"/>
              <w:right w:val="nil"/>
            </w:tcBorders>
            <w:shd w:val="clear" w:color="auto" w:fill="auto"/>
            <w:vAlign w:val="center"/>
          </w:tcPr>
          <w:p w14:paraId="20156BF8">
            <w:pPr>
              <w:widowControl/>
              <w:jc w:val="center"/>
              <w:rPr>
                <w:rFonts w:ascii="Garamond" w:hAnsi="Garamond" w:eastAsia="Times New Roman" w:cs="Calibri"/>
                <w:b/>
                <w:bCs/>
                <w:color w:val="000000"/>
              </w:rPr>
            </w:pPr>
            <w:r>
              <w:rPr>
                <w:rFonts w:ascii="Garamond" w:hAnsi="Garamond" w:eastAsia="Times New Roman" w:cs="Calibri"/>
                <w:b/>
                <w:bCs/>
                <w:color w:val="000000"/>
              </w:rPr>
              <w:t>Impact of 30-days cumulative heat waves</w:t>
            </w:r>
          </w:p>
        </w:tc>
        <w:tc>
          <w:tcPr>
            <w:tcW w:w="526" w:type="pct"/>
            <w:tcBorders>
              <w:top w:val="double" w:color="auto" w:sz="6" w:space="0"/>
              <w:left w:val="nil"/>
              <w:bottom w:val="single" w:color="auto" w:sz="4" w:space="0"/>
              <w:right w:val="nil"/>
            </w:tcBorders>
            <w:shd w:val="clear" w:color="auto" w:fill="auto"/>
            <w:vAlign w:val="center"/>
          </w:tcPr>
          <w:p w14:paraId="28E9FA4F">
            <w:pPr>
              <w:widowControl/>
              <w:jc w:val="center"/>
              <w:rPr>
                <w:rFonts w:ascii="Garamond" w:hAnsi="Garamond" w:eastAsia="Times New Roman" w:cs="Calibri"/>
                <w:b/>
                <w:bCs/>
                <w:color w:val="000000"/>
              </w:rPr>
            </w:pPr>
            <w:r>
              <w:rPr>
                <w:rFonts w:ascii="Garamond" w:hAnsi="Garamond" w:eastAsia="Times New Roman" w:cs="Calibri"/>
                <w:b/>
                <w:bCs/>
                <w:color w:val="000000"/>
              </w:rPr>
              <w:t>P-Value</w:t>
            </w:r>
          </w:p>
        </w:tc>
        <w:tc>
          <w:tcPr>
            <w:tcW w:w="771" w:type="pct"/>
            <w:tcBorders>
              <w:top w:val="double" w:color="auto" w:sz="6" w:space="0"/>
              <w:left w:val="nil"/>
              <w:bottom w:val="single" w:color="auto" w:sz="4" w:space="0"/>
              <w:right w:val="nil"/>
            </w:tcBorders>
            <w:shd w:val="clear" w:color="auto" w:fill="auto"/>
            <w:vAlign w:val="center"/>
          </w:tcPr>
          <w:p w14:paraId="6CAC9D8E">
            <w:pPr>
              <w:widowControl/>
              <w:jc w:val="center"/>
              <w:rPr>
                <w:rFonts w:ascii="Garamond" w:hAnsi="Garamond" w:eastAsia="Times New Roman" w:cs="Calibri"/>
                <w:b/>
                <w:bCs/>
                <w:color w:val="000000"/>
              </w:rPr>
            </w:pPr>
            <w:r>
              <w:rPr>
                <w:rFonts w:ascii="Garamond" w:hAnsi="Garamond" w:eastAsia="Times New Roman" w:cs="Calibri"/>
                <w:b/>
                <w:bCs/>
                <w:color w:val="000000"/>
              </w:rPr>
              <w:t>Impact of 7-days cumulative heat waves</w:t>
            </w:r>
          </w:p>
        </w:tc>
        <w:tc>
          <w:tcPr>
            <w:tcW w:w="526" w:type="pct"/>
            <w:tcBorders>
              <w:top w:val="double" w:color="auto" w:sz="6" w:space="0"/>
              <w:left w:val="nil"/>
              <w:bottom w:val="single" w:color="auto" w:sz="4" w:space="0"/>
              <w:right w:val="nil"/>
            </w:tcBorders>
            <w:shd w:val="clear" w:color="auto" w:fill="auto"/>
            <w:vAlign w:val="center"/>
          </w:tcPr>
          <w:p w14:paraId="1C6605C9">
            <w:pPr>
              <w:widowControl/>
              <w:jc w:val="center"/>
              <w:rPr>
                <w:rFonts w:ascii="Garamond" w:hAnsi="Garamond" w:eastAsia="Times New Roman" w:cs="Calibri"/>
                <w:b/>
                <w:bCs/>
                <w:color w:val="000000"/>
              </w:rPr>
            </w:pPr>
            <w:r>
              <w:rPr>
                <w:rFonts w:ascii="Garamond" w:hAnsi="Garamond" w:eastAsia="Times New Roman" w:cs="Calibri"/>
                <w:b/>
                <w:bCs/>
                <w:color w:val="000000"/>
              </w:rPr>
              <w:t>P-Value</w:t>
            </w:r>
          </w:p>
        </w:tc>
      </w:tr>
      <w:tr w14:paraId="2085E2C2">
        <w:tblPrEx>
          <w:tblCellMar>
            <w:top w:w="0" w:type="dxa"/>
            <w:left w:w="108" w:type="dxa"/>
            <w:bottom w:w="0" w:type="dxa"/>
            <w:right w:w="108" w:type="dxa"/>
          </w:tblCellMar>
        </w:tblPrEx>
        <w:trPr>
          <w:trHeight w:val="580" w:hRule="atLeast"/>
        </w:trPr>
        <w:tc>
          <w:tcPr>
            <w:tcW w:w="912" w:type="pct"/>
            <w:tcBorders>
              <w:top w:val="nil"/>
              <w:left w:val="nil"/>
              <w:bottom w:val="nil"/>
              <w:right w:val="nil"/>
            </w:tcBorders>
            <w:shd w:val="clear" w:color="auto" w:fill="auto"/>
            <w:vAlign w:val="center"/>
          </w:tcPr>
          <w:p w14:paraId="48AEE805">
            <w:pPr>
              <w:widowControl/>
              <w:jc w:val="left"/>
              <w:rPr>
                <w:rFonts w:ascii="Garamond" w:hAnsi="Garamond" w:eastAsia="Times New Roman" w:cs="Calibri"/>
                <w:color w:val="000000"/>
              </w:rPr>
            </w:pPr>
            <w:r>
              <w:rPr>
                <w:rFonts w:ascii="Garamond" w:hAnsi="Garamond" w:eastAsia="Times New Roman" w:cs="Calibri"/>
                <w:color w:val="000000"/>
              </w:rPr>
              <w:t>Meal Diversity (IDDS)</w:t>
            </w:r>
          </w:p>
        </w:tc>
        <w:tc>
          <w:tcPr>
            <w:tcW w:w="867" w:type="pct"/>
            <w:tcBorders>
              <w:top w:val="nil"/>
              <w:left w:val="nil"/>
              <w:bottom w:val="nil"/>
              <w:right w:val="nil"/>
            </w:tcBorders>
            <w:shd w:val="clear" w:color="auto" w:fill="auto"/>
            <w:vAlign w:val="center"/>
          </w:tcPr>
          <w:p w14:paraId="585EC57D">
            <w:pPr>
              <w:widowControl/>
              <w:jc w:val="center"/>
              <w:rPr>
                <w:rFonts w:ascii="Garamond" w:hAnsi="Garamond" w:eastAsia="Times New Roman" w:cs="Calibri"/>
                <w:color w:val="000000"/>
              </w:rPr>
            </w:pPr>
            <w:r>
              <w:rPr>
                <w:rFonts w:ascii="Garamond" w:hAnsi="Garamond" w:eastAsia="Times New Roman" w:cs="Calibri"/>
                <w:color w:val="000000"/>
              </w:rPr>
              <w:t>-0.0009</w:t>
            </w:r>
          </w:p>
        </w:tc>
        <w:tc>
          <w:tcPr>
            <w:tcW w:w="526" w:type="pct"/>
            <w:tcBorders>
              <w:top w:val="nil"/>
              <w:left w:val="nil"/>
              <w:bottom w:val="nil"/>
              <w:right w:val="nil"/>
            </w:tcBorders>
            <w:shd w:val="clear" w:color="auto" w:fill="auto"/>
            <w:vAlign w:val="center"/>
          </w:tcPr>
          <w:p w14:paraId="71DAEA53">
            <w:pPr>
              <w:widowControl/>
              <w:jc w:val="center"/>
              <w:rPr>
                <w:rFonts w:ascii="Garamond" w:hAnsi="Garamond" w:eastAsia="Times New Roman" w:cs="Calibri"/>
                <w:color w:val="000000"/>
              </w:rPr>
            </w:pPr>
            <w:r>
              <w:rPr>
                <w:rFonts w:ascii="Garamond" w:hAnsi="Garamond" w:eastAsia="Times New Roman" w:cs="Calibri"/>
                <w:color w:val="000000"/>
              </w:rPr>
              <w:t>0.423</w:t>
            </w:r>
          </w:p>
        </w:tc>
        <w:tc>
          <w:tcPr>
            <w:tcW w:w="873" w:type="pct"/>
            <w:tcBorders>
              <w:top w:val="nil"/>
              <w:left w:val="nil"/>
              <w:bottom w:val="nil"/>
              <w:right w:val="nil"/>
            </w:tcBorders>
            <w:shd w:val="clear" w:color="auto" w:fill="auto"/>
            <w:vAlign w:val="center"/>
          </w:tcPr>
          <w:p w14:paraId="33B1F6FB">
            <w:pPr>
              <w:widowControl/>
              <w:jc w:val="center"/>
              <w:rPr>
                <w:rFonts w:ascii="Garamond" w:hAnsi="Garamond" w:eastAsia="Times New Roman" w:cs="Calibri"/>
                <w:color w:val="000000"/>
              </w:rPr>
            </w:pPr>
            <w:r>
              <w:rPr>
                <w:rFonts w:ascii="Garamond" w:hAnsi="Garamond" w:eastAsia="Times New Roman" w:cs="Calibri"/>
                <w:color w:val="000000"/>
              </w:rPr>
              <w:t>-0.0025</w:t>
            </w:r>
          </w:p>
        </w:tc>
        <w:tc>
          <w:tcPr>
            <w:tcW w:w="526" w:type="pct"/>
            <w:tcBorders>
              <w:top w:val="nil"/>
              <w:left w:val="nil"/>
              <w:bottom w:val="nil"/>
              <w:right w:val="nil"/>
            </w:tcBorders>
            <w:shd w:val="clear" w:color="auto" w:fill="auto"/>
            <w:vAlign w:val="center"/>
          </w:tcPr>
          <w:p w14:paraId="7A567789">
            <w:pPr>
              <w:widowControl/>
              <w:jc w:val="center"/>
              <w:rPr>
                <w:rFonts w:ascii="Garamond" w:hAnsi="Garamond" w:eastAsia="Times New Roman" w:cs="Calibri"/>
                <w:color w:val="000000"/>
              </w:rPr>
            </w:pPr>
            <w:r>
              <w:rPr>
                <w:rFonts w:ascii="Garamond" w:hAnsi="Garamond" w:eastAsia="Times New Roman" w:cs="Calibri"/>
                <w:color w:val="000000"/>
              </w:rPr>
              <w:t>0.004</w:t>
            </w:r>
          </w:p>
        </w:tc>
        <w:tc>
          <w:tcPr>
            <w:tcW w:w="771" w:type="pct"/>
            <w:tcBorders>
              <w:top w:val="nil"/>
              <w:left w:val="nil"/>
              <w:bottom w:val="nil"/>
              <w:right w:val="nil"/>
            </w:tcBorders>
            <w:shd w:val="clear" w:color="auto" w:fill="auto"/>
            <w:vAlign w:val="center"/>
          </w:tcPr>
          <w:p w14:paraId="4D0E229F">
            <w:pPr>
              <w:widowControl/>
              <w:jc w:val="center"/>
              <w:rPr>
                <w:rFonts w:ascii="Garamond" w:hAnsi="Garamond" w:eastAsia="Times New Roman" w:cs="Calibri"/>
                <w:color w:val="000000"/>
              </w:rPr>
            </w:pPr>
            <w:r>
              <w:rPr>
                <w:rFonts w:ascii="Garamond" w:hAnsi="Garamond" w:eastAsia="Times New Roman" w:cs="Calibri"/>
                <w:color w:val="000000"/>
              </w:rPr>
              <w:t>-0.0020</w:t>
            </w:r>
          </w:p>
        </w:tc>
        <w:tc>
          <w:tcPr>
            <w:tcW w:w="526" w:type="pct"/>
            <w:tcBorders>
              <w:top w:val="nil"/>
              <w:left w:val="nil"/>
              <w:bottom w:val="nil"/>
              <w:right w:val="nil"/>
            </w:tcBorders>
            <w:shd w:val="clear" w:color="auto" w:fill="auto"/>
            <w:vAlign w:val="center"/>
          </w:tcPr>
          <w:p w14:paraId="465F1952">
            <w:pPr>
              <w:widowControl/>
              <w:jc w:val="center"/>
              <w:rPr>
                <w:rFonts w:ascii="Garamond" w:hAnsi="Garamond" w:eastAsia="Times New Roman" w:cs="Calibri"/>
                <w:color w:val="000000"/>
              </w:rPr>
            </w:pPr>
            <w:r>
              <w:rPr>
                <w:rFonts w:ascii="Garamond" w:hAnsi="Garamond" w:eastAsia="Times New Roman" w:cs="Calibri"/>
                <w:color w:val="000000"/>
              </w:rPr>
              <w:t>0.003</w:t>
            </w:r>
          </w:p>
        </w:tc>
      </w:tr>
      <w:tr w14:paraId="450B3146">
        <w:tblPrEx>
          <w:tblCellMar>
            <w:top w:w="0" w:type="dxa"/>
            <w:left w:w="108" w:type="dxa"/>
            <w:bottom w:w="0" w:type="dxa"/>
            <w:right w:w="108" w:type="dxa"/>
          </w:tblCellMar>
        </w:tblPrEx>
        <w:trPr>
          <w:trHeight w:val="580" w:hRule="atLeast"/>
        </w:trPr>
        <w:tc>
          <w:tcPr>
            <w:tcW w:w="912" w:type="pct"/>
            <w:tcBorders>
              <w:top w:val="nil"/>
              <w:left w:val="nil"/>
              <w:bottom w:val="nil"/>
              <w:right w:val="nil"/>
            </w:tcBorders>
            <w:shd w:val="clear" w:color="auto" w:fill="auto"/>
            <w:vAlign w:val="center"/>
          </w:tcPr>
          <w:p w14:paraId="6FD47703">
            <w:pPr>
              <w:widowControl/>
              <w:jc w:val="left"/>
              <w:rPr>
                <w:rFonts w:ascii="Garamond" w:hAnsi="Garamond" w:eastAsia="Times New Roman" w:cs="Calibri"/>
                <w:color w:val="000000"/>
              </w:rPr>
            </w:pPr>
            <w:r>
              <w:rPr>
                <w:rFonts w:ascii="Garamond" w:hAnsi="Garamond" w:eastAsia="Times New Roman" w:cs="Calibri"/>
                <w:color w:val="000000"/>
              </w:rPr>
              <w:t>Meal Imbalance (DQD)</w:t>
            </w:r>
          </w:p>
        </w:tc>
        <w:tc>
          <w:tcPr>
            <w:tcW w:w="867" w:type="pct"/>
            <w:tcBorders>
              <w:top w:val="nil"/>
              <w:left w:val="nil"/>
              <w:bottom w:val="nil"/>
              <w:right w:val="nil"/>
            </w:tcBorders>
            <w:shd w:val="clear" w:color="auto" w:fill="auto"/>
            <w:vAlign w:val="center"/>
          </w:tcPr>
          <w:p w14:paraId="1293C77D">
            <w:pPr>
              <w:widowControl/>
              <w:jc w:val="center"/>
              <w:rPr>
                <w:rFonts w:ascii="Garamond" w:hAnsi="Garamond" w:eastAsia="Times New Roman" w:cs="Calibri"/>
                <w:color w:val="000000"/>
              </w:rPr>
            </w:pPr>
            <w:r>
              <w:rPr>
                <w:rFonts w:ascii="Garamond" w:hAnsi="Garamond" w:eastAsia="Times New Roman" w:cs="Calibri"/>
                <w:color w:val="000000"/>
              </w:rPr>
              <w:t>0.024</w:t>
            </w:r>
          </w:p>
        </w:tc>
        <w:tc>
          <w:tcPr>
            <w:tcW w:w="526" w:type="pct"/>
            <w:tcBorders>
              <w:top w:val="nil"/>
              <w:left w:val="nil"/>
              <w:bottom w:val="nil"/>
              <w:right w:val="nil"/>
            </w:tcBorders>
            <w:shd w:val="clear" w:color="auto" w:fill="auto"/>
            <w:vAlign w:val="center"/>
          </w:tcPr>
          <w:p w14:paraId="02CAA280">
            <w:pPr>
              <w:widowControl/>
              <w:jc w:val="center"/>
              <w:rPr>
                <w:rFonts w:ascii="Garamond" w:hAnsi="Garamond" w:eastAsia="Times New Roman" w:cs="Calibri"/>
                <w:color w:val="000000"/>
              </w:rPr>
            </w:pPr>
            <w:r>
              <w:rPr>
                <w:rFonts w:ascii="Garamond" w:hAnsi="Garamond" w:eastAsia="Times New Roman" w:cs="Calibri"/>
                <w:color w:val="000000"/>
              </w:rPr>
              <w:t>0.014</w:t>
            </w:r>
          </w:p>
        </w:tc>
        <w:tc>
          <w:tcPr>
            <w:tcW w:w="873" w:type="pct"/>
            <w:tcBorders>
              <w:top w:val="nil"/>
              <w:left w:val="nil"/>
              <w:bottom w:val="nil"/>
              <w:right w:val="nil"/>
            </w:tcBorders>
            <w:shd w:val="clear" w:color="auto" w:fill="auto"/>
            <w:vAlign w:val="center"/>
          </w:tcPr>
          <w:p w14:paraId="3974FC64">
            <w:pPr>
              <w:widowControl/>
              <w:jc w:val="center"/>
              <w:rPr>
                <w:rFonts w:ascii="Garamond" w:hAnsi="Garamond" w:eastAsia="Times New Roman" w:cs="Calibri"/>
                <w:color w:val="000000"/>
              </w:rPr>
            </w:pPr>
            <w:r>
              <w:rPr>
                <w:rFonts w:ascii="Garamond" w:hAnsi="Garamond" w:eastAsia="Times New Roman" w:cs="Calibri"/>
                <w:color w:val="000000"/>
              </w:rPr>
              <w:t>0.008</w:t>
            </w:r>
          </w:p>
        </w:tc>
        <w:tc>
          <w:tcPr>
            <w:tcW w:w="526" w:type="pct"/>
            <w:tcBorders>
              <w:top w:val="nil"/>
              <w:left w:val="nil"/>
              <w:bottom w:val="nil"/>
              <w:right w:val="nil"/>
            </w:tcBorders>
            <w:shd w:val="clear" w:color="auto" w:fill="auto"/>
            <w:vAlign w:val="center"/>
          </w:tcPr>
          <w:p w14:paraId="5D0EEE0A">
            <w:pPr>
              <w:widowControl/>
              <w:jc w:val="center"/>
              <w:rPr>
                <w:rFonts w:ascii="Garamond" w:hAnsi="Garamond" w:eastAsia="Times New Roman" w:cs="Calibri"/>
                <w:color w:val="000000"/>
              </w:rPr>
            </w:pPr>
            <w:r>
              <w:rPr>
                <w:rFonts w:ascii="Garamond" w:hAnsi="Garamond" w:eastAsia="Times New Roman" w:cs="Calibri"/>
                <w:color w:val="000000"/>
              </w:rPr>
              <w:t>0.003</w:t>
            </w:r>
          </w:p>
        </w:tc>
        <w:tc>
          <w:tcPr>
            <w:tcW w:w="771" w:type="pct"/>
            <w:tcBorders>
              <w:top w:val="nil"/>
              <w:left w:val="nil"/>
              <w:bottom w:val="nil"/>
              <w:right w:val="nil"/>
            </w:tcBorders>
            <w:shd w:val="clear" w:color="auto" w:fill="auto"/>
            <w:vAlign w:val="center"/>
          </w:tcPr>
          <w:p w14:paraId="6ED45C70">
            <w:pPr>
              <w:widowControl/>
              <w:jc w:val="center"/>
              <w:rPr>
                <w:rFonts w:ascii="Garamond" w:hAnsi="Garamond" w:eastAsia="Times New Roman" w:cs="Calibri"/>
                <w:color w:val="000000"/>
              </w:rPr>
            </w:pPr>
            <w:r>
              <w:rPr>
                <w:rFonts w:ascii="Garamond" w:hAnsi="Garamond" w:eastAsia="Times New Roman" w:cs="Calibri"/>
                <w:color w:val="000000"/>
              </w:rPr>
              <w:t>0.004</w:t>
            </w:r>
          </w:p>
        </w:tc>
        <w:tc>
          <w:tcPr>
            <w:tcW w:w="526" w:type="pct"/>
            <w:tcBorders>
              <w:top w:val="nil"/>
              <w:left w:val="nil"/>
              <w:bottom w:val="nil"/>
              <w:right w:val="nil"/>
            </w:tcBorders>
            <w:shd w:val="clear" w:color="auto" w:fill="auto"/>
            <w:vAlign w:val="center"/>
          </w:tcPr>
          <w:p w14:paraId="146363F7">
            <w:pPr>
              <w:widowControl/>
              <w:jc w:val="center"/>
              <w:rPr>
                <w:rFonts w:ascii="Garamond" w:hAnsi="Garamond" w:eastAsia="Times New Roman" w:cs="Calibri"/>
                <w:color w:val="000000"/>
              </w:rPr>
            </w:pPr>
            <w:r>
              <w:rPr>
                <w:rFonts w:ascii="Garamond" w:hAnsi="Garamond" w:eastAsia="Times New Roman" w:cs="Calibri"/>
                <w:color w:val="000000"/>
              </w:rPr>
              <w:t>0.004</w:t>
            </w:r>
          </w:p>
        </w:tc>
      </w:tr>
      <w:tr w14:paraId="2414716A">
        <w:tblPrEx>
          <w:tblCellMar>
            <w:top w:w="0" w:type="dxa"/>
            <w:left w:w="108" w:type="dxa"/>
            <w:bottom w:w="0" w:type="dxa"/>
            <w:right w:w="108" w:type="dxa"/>
          </w:tblCellMar>
        </w:tblPrEx>
        <w:trPr>
          <w:trHeight w:val="580" w:hRule="atLeast"/>
        </w:trPr>
        <w:tc>
          <w:tcPr>
            <w:tcW w:w="912" w:type="pct"/>
            <w:tcBorders>
              <w:top w:val="nil"/>
              <w:left w:val="nil"/>
              <w:bottom w:val="single" w:color="auto" w:sz="4" w:space="0"/>
              <w:right w:val="nil"/>
            </w:tcBorders>
            <w:shd w:val="clear" w:color="auto" w:fill="auto"/>
            <w:vAlign w:val="center"/>
          </w:tcPr>
          <w:p w14:paraId="084B07C2">
            <w:pPr>
              <w:widowControl/>
              <w:jc w:val="left"/>
              <w:rPr>
                <w:rFonts w:ascii="Garamond" w:hAnsi="Garamond" w:eastAsia="Times New Roman" w:cs="Calibri"/>
                <w:color w:val="000000"/>
              </w:rPr>
            </w:pPr>
            <w:r>
              <w:rPr>
                <w:rFonts w:ascii="Garamond" w:hAnsi="Garamond" w:eastAsia="Times New Roman" w:cs="Calibri"/>
                <w:color w:val="000000"/>
              </w:rPr>
              <w:t>Meal Quality (HEI-2015)</w:t>
            </w:r>
          </w:p>
        </w:tc>
        <w:tc>
          <w:tcPr>
            <w:tcW w:w="867" w:type="pct"/>
            <w:tcBorders>
              <w:top w:val="nil"/>
              <w:left w:val="nil"/>
              <w:bottom w:val="single" w:color="auto" w:sz="4" w:space="0"/>
              <w:right w:val="nil"/>
            </w:tcBorders>
            <w:shd w:val="clear" w:color="auto" w:fill="auto"/>
            <w:vAlign w:val="center"/>
          </w:tcPr>
          <w:p w14:paraId="7B9BC52F">
            <w:pPr>
              <w:widowControl/>
              <w:jc w:val="center"/>
              <w:rPr>
                <w:rFonts w:ascii="Garamond" w:hAnsi="Garamond" w:eastAsia="Times New Roman" w:cs="Calibri"/>
                <w:color w:val="000000"/>
              </w:rPr>
            </w:pPr>
            <w:r>
              <w:rPr>
                <w:rFonts w:ascii="Garamond" w:hAnsi="Garamond" w:eastAsia="Times New Roman" w:cs="Calibri"/>
                <w:color w:val="000000"/>
              </w:rPr>
              <w:t>-0.032</w:t>
            </w:r>
          </w:p>
        </w:tc>
        <w:tc>
          <w:tcPr>
            <w:tcW w:w="526" w:type="pct"/>
            <w:tcBorders>
              <w:top w:val="nil"/>
              <w:left w:val="nil"/>
              <w:bottom w:val="single" w:color="auto" w:sz="4" w:space="0"/>
              <w:right w:val="nil"/>
            </w:tcBorders>
            <w:shd w:val="clear" w:color="auto" w:fill="auto"/>
            <w:vAlign w:val="center"/>
          </w:tcPr>
          <w:p w14:paraId="3A81F866">
            <w:pPr>
              <w:widowControl/>
              <w:jc w:val="center"/>
              <w:rPr>
                <w:rFonts w:ascii="Garamond" w:hAnsi="Garamond" w:eastAsia="Times New Roman" w:cs="Calibri"/>
                <w:color w:val="000000"/>
              </w:rPr>
            </w:pPr>
            <w:r>
              <w:rPr>
                <w:rFonts w:ascii="Garamond" w:hAnsi="Garamond" w:eastAsia="Times New Roman" w:cs="Calibri"/>
                <w:color w:val="000000"/>
              </w:rPr>
              <w:t>0.008</w:t>
            </w:r>
          </w:p>
        </w:tc>
        <w:tc>
          <w:tcPr>
            <w:tcW w:w="873" w:type="pct"/>
            <w:tcBorders>
              <w:top w:val="nil"/>
              <w:left w:val="nil"/>
              <w:bottom w:val="single" w:color="auto" w:sz="4" w:space="0"/>
              <w:right w:val="nil"/>
            </w:tcBorders>
            <w:shd w:val="clear" w:color="auto" w:fill="auto"/>
            <w:vAlign w:val="center"/>
          </w:tcPr>
          <w:p w14:paraId="2B049BBD">
            <w:pPr>
              <w:widowControl/>
              <w:jc w:val="center"/>
              <w:rPr>
                <w:rFonts w:ascii="Garamond" w:hAnsi="Garamond" w:eastAsia="Times New Roman" w:cs="Calibri"/>
                <w:color w:val="000000"/>
              </w:rPr>
            </w:pPr>
            <w:r>
              <w:rPr>
                <w:rFonts w:ascii="Garamond" w:hAnsi="Garamond" w:eastAsia="Times New Roman" w:cs="Calibri"/>
                <w:color w:val="000000"/>
              </w:rPr>
              <w:t>-0.008</w:t>
            </w:r>
          </w:p>
        </w:tc>
        <w:tc>
          <w:tcPr>
            <w:tcW w:w="526" w:type="pct"/>
            <w:tcBorders>
              <w:top w:val="nil"/>
              <w:left w:val="nil"/>
              <w:bottom w:val="single" w:color="auto" w:sz="4" w:space="0"/>
              <w:right w:val="nil"/>
            </w:tcBorders>
            <w:shd w:val="clear" w:color="auto" w:fill="auto"/>
            <w:vAlign w:val="center"/>
          </w:tcPr>
          <w:p w14:paraId="2B8087B0">
            <w:pPr>
              <w:widowControl/>
              <w:jc w:val="center"/>
              <w:rPr>
                <w:rFonts w:ascii="Garamond" w:hAnsi="Garamond" w:eastAsia="Times New Roman" w:cs="Calibri"/>
                <w:color w:val="000000"/>
              </w:rPr>
            </w:pPr>
            <w:r>
              <w:rPr>
                <w:rFonts w:ascii="Garamond" w:hAnsi="Garamond" w:eastAsia="Times New Roman" w:cs="Calibri"/>
                <w:color w:val="000000"/>
              </w:rPr>
              <w:t>0.008</w:t>
            </w:r>
          </w:p>
        </w:tc>
        <w:tc>
          <w:tcPr>
            <w:tcW w:w="771" w:type="pct"/>
            <w:tcBorders>
              <w:top w:val="nil"/>
              <w:left w:val="nil"/>
              <w:bottom w:val="single" w:color="auto" w:sz="4" w:space="0"/>
              <w:right w:val="nil"/>
            </w:tcBorders>
            <w:shd w:val="clear" w:color="auto" w:fill="auto"/>
            <w:vAlign w:val="center"/>
          </w:tcPr>
          <w:p w14:paraId="47DA5665">
            <w:pPr>
              <w:widowControl/>
              <w:jc w:val="center"/>
              <w:rPr>
                <w:rFonts w:ascii="Garamond" w:hAnsi="Garamond" w:eastAsia="Times New Roman" w:cs="Calibri"/>
                <w:color w:val="000000"/>
              </w:rPr>
            </w:pPr>
            <w:r>
              <w:rPr>
                <w:rFonts w:ascii="Garamond" w:hAnsi="Garamond" w:eastAsia="Times New Roman" w:cs="Calibri"/>
                <w:color w:val="000000"/>
              </w:rPr>
              <w:t>-0.004</w:t>
            </w:r>
          </w:p>
        </w:tc>
        <w:tc>
          <w:tcPr>
            <w:tcW w:w="526" w:type="pct"/>
            <w:tcBorders>
              <w:top w:val="nil"/>
              <w:left w:val="nil"/>
              <w:bottom w:val="single" w:color="auto" w:sz="4" w:space="0"/>
              <w:right w:val="nil"/>
            </w:tcBorders>
            <w:shd w:val="clear" w:color="auto" w:fill="auto"/>
            <w:vAlign w:val="center"/>
          </w:tcPr>
          <w:p w14:paraId="0EF42F36">
            <w:pPr>
              <w:widowControl/>
              <w:jc w:val="center"/>
              <w:rPr>
                <w:rFonts w:ascii="Garamond" w:hAnsi="Garamond" w:eastAsia="Times New Roman" w:cs="Calibri"/>
                <w:color w:val="000000"/>
              </w:rPr>
            </w:pPr>
            <w:r>
              <w:rPr>
                <w:rFonts w:ascii="Garamond" w:hAnsi="Garamond" w:eastAsia="Times New Roman" w:cs="Calibri"/>
                <w:color w:val="000000"/>
              </w:rPr>
              <w:t>0.007</w:t>
            </w:r>
          </w:p>
        </w:tc>
      </w:tr>
    </w:tbl>
    <w:p w14:paraId="2B42B967">
      <w:pPr>
        <w:rPr>
          <w:rFonts w:ascii="Garamond" w:hAnsi="Garamond"/>
        </w:rPr>
      </w:pPr>
    </w:p>
    <w:p w14:paraId="3B6401FF">
      <w:pPr>
        <w:spacing w:line="360" w:lineRule="auto"/>
        <w:rPr>
          <w:rFonts w:ascii="Garamond" w:hAnsi="Garamond" w:cs="Times New Roman"/>
        </w:rPr>
      </w:pPr>
    </w:p>
    <w:p w14:paraId="63428780">
      <w:pPr>
        <w:spacing w:line="480" w:lineRule="auto"/>
        <w:jc w:val="left"/>
        <w:rPr>
          <w:rFonts w:ascii="Garamond" w:hAnsi="Garamond" w:cs="Times New Roman"/>
          <w:sz w:val="24"/>
          <w:szCs w:val="24"/>
        </w:rPr>
      </w:pPr>
    </w:p>
    <w:p w14:paraId="4BBFCD8E">
      <w:pPr>
        <w:spacing w:line="480" w:lineRule="auto"/>
        <w:jc w:val="left"/>
        <w:rPr>
          <w:rFonts w:ascii="Garamond" w:hAnsi="Garamond" w:cs="Times New Roman"/>
          <w:sz w:val="24"/>
          <w:szCs w:val="24"/>
        </w:rPr>
      </w:pPr>
    </w:p>
    <w:p w14:paraId="21AEB1B7">
      <w:pPr>
        <w:widowControl/>
        <w:jc w:val="left"/>
        <w:rPr>
          <w:rFonts w:ascii="Garamond" w:hAnsi="Garamond" w:cs="Times New Roman"/>
          <w:b/>
          <w:bCs/>
          <w:sz w:val="24"/>
          <w:szCs w:val="24"/>
        </w:rPr>
      </w:pPr>
    </w:p>
    <w:p w14:paraId="0B6FC4C1">
      <w:pPr>
        <w:spacing w:line="480" w:lineRule="auto"/>
        <w:jc w:val="left"/>
        <w:rPr>
          <w:rFonts w:ascii="Garamond" w:hAnsi="Garamond" w:cs="Times New Roman"/>
          <w:sz w:val="24"/>
          <w:szCs w:val="24"/>
        </w:rPr>
      </w:pPr>
    </w:p>
    <w:sectPr>
      <w:footerReference r:id="rId4" w:type="default"/>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Garamond">
    <w:panose1 w:val="02020404030301010803"/>
    <w:charset w:val="00"/>
    <w:family w:val="roman"/>
    <w:pitch w:val="default"/>
    <w:sig w:usb0="00000287" w:usb1="00000000" w:usb2="00000000" w:usb3="00000000" w:csb0="0000009F" w:csb1="DFD7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90475291"/>
      <w:docPartObj>
        <w:docPartGallery w:val="autotext"/>
      </w:docPartObj>
    </w:sdtPr>
    <w:sdtContent>
      <w:p w14:paraId="49310E80">
        <w:pPr>
          <w:pStyle w:val="4"/>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2EA04E13">
    <w:pPr>
      <w:pStyle w:val="4"/>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w:r>
        <w:separator/>
      </w:r>
    </w:p>
  </w:footnote>
  <w:footnote w:type="continuationSeparator" w:id="9">
    <w:p>
      <w:r>
        <w:continuationSeparator/>
      </w:r>
    </w:p>
  </w:footnote>
  <w:footnote w:id="0">
    <w:p w14:paraId="163201FA">
      <w:pPr>
        <w:pStyle w:val="6"/>
        <w:rPr>
          <w:rFonts w:ascii="Garamond" w:hAnsi="Garamond"/>
        </w:rPr>
      </w:pPr>
      <w:r>
        <w:rPr>
          <w:rStyle w:val="14"/>
          <w:rFonts w:ascii="Garamond" w:hAnsi="Garamond"/>
        </w:rPr>
        <w:footnoteRef/>
      </w:r>
      <w:r>
        <w:rPr>
          <w:rFonts w:ascii="Garamond" w:hAnsi="Garamond" w:cs="Times New Roman"/>
        </w:rPr>
        <w:t xml:space="preserve"> The 17 cities include</w:t>
      </w:r>
      <w:r>
        <w:rPr>
          <w:rFonts w:ascii="Garamond" w:hAnsi="Garamond"/>
        </w:rPr>
        <w:t xml:space="preserve"> </w:t>
      </w:r>
      <w:r>
        <w:rPr>
          <w:rFonts w:ascii="Garamond" w:hAnsi="Garamond" w:cs="Times New Roman"/>
        </w:rPr>
        <w:t xml:space="preserve">Beijing, Shanghai, Tianjin, Guangzhou, Shenzhen, Wuhan, Hangzhou, Hefei, Kunming, Zhengzhou, Nanjing, Shijiazhuang, Xi’an, Chengdu, Huizhou, Suzhou, and Wuxi. </w:t>
      </w:r>
    </w:p>
  </w:footnote>
  <w:footnote w:id="1">
    <w:p w14:paraId="2F345CD6">
      <w:pPr>
        <w:pStyle w:val="6"/>
        <w:rPr>
          <w:rFonts w:hint="eastAsia"/>
        </w:rPr>
      </w:pPr>
      <w:r>
        <w:rPr>
          <w:rStyle w:val="14"/>
          <w:rFonts w:ascii="Garamond" w:hAnsi="Garamond"/>
        </w:rPr>
        <w:footnoteRef/>
      </w:r>
      <w:r>
        <w:rPr>
          <w:rFonts w:ascii="Garamond" w:hAnsi="Garamond"/>
        </w:rPr>
        <w:t xml:space="preserve"> </w:t>
      </w:r>
      <w:r>
        <w:rPr>
          <w:rFonts w:ascii="Garamond" w:hAnsi="Garamond" w:cs="Times New Roman"/>
        </w:rPr>
        <w:t>year/month/day/hour/minute/second</w:t>
      </w:r>
    </w:p>
  </w:footnote>
  <w:footnote w:id="2">
    <w:p w14:paraId="7FECB725">
      <w:pPr>
        <w:pStyle w:val="6"/>
        <w:rPr>
          <w:rFonts w:ascii="Times New Roman" w:hAnsi="Times New Roman" w:cs="Times New Roman"/>
          <w:sz w:val="20"/>
          <w:szCs w:val="20"/>
        </w:rPr>
      </w:pPr>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w:t>
      </w:r>
      <w:r>
        <w:rPr>
          <w:rFonts w:ascii="Garamond" w:hAnsi="Garamond" w:cs="Times New Roman"/>
        </w:rPr>
        <w:t>Accessed at</w:t>
      </w:r>
      <w:r>
        <w:rPr>
          <w:rFonts w:ascii="Garamond" w:hAnsi="Garamond" w:cs="Times New Roman"/>
          <w:sz w:val="20"/>
          <w:szCs w:val="20"/>
        </w:rPr>
        <w:t xml:space="preserve"> </w:t>
      </w:r>
      <w:r>
        <w:fldChar w:fldCharType="begin"/>
      </w:r>
      <w:r>
        <w:instrText xml:space="preserve"> HYPERLINK "https://www.fns.usda.gov/how-hei-scored" </w:instrText>
      </w:r>
      <w:r>
        <w:fldChar w:fldCharType="separate"/>
      </w:r>
      <w:r>
        <w:rPr>
          <w:rStyle w:val="12"/>
          <w:rFonts w:ascii="Garamond" w:hAnsi="Garamond" w:cs="Times New Roman"/>
          <w:sz w:val="20"/>
          <w:szCs w:val="20"/>
        </w:rPr>
        <w:t>https://www.fns.usda.gov/how-hei-scored</w:t>
      </w:r>
      <w:r>
        <w:rPr>
          <w:rStyle w:val="12"/>
          <w:rFonts w:ascii="Garamond" w:hAnsi="Garamond" w:cs="Times New Roman"/>
          <w:sz w:val="20"/>
          <w:szCs w:val="20"/>
        </w:rPr>
        <w:fldChar w:fldCharType="end"/>
      </w:r>
      <w:r>
        <w:rPr>
          <w:rFonts w:ascii="Garamond" w:hAnsi="Garamond" w:cs="Times New Roman"/>
          <w:sz w:val="20"/>
          <w:szCs w:val="20"/>
        </w:rPr>
        <w:t xml:space="preserve"> (Last accessed: May 27, 2023).  </w:t>
      </w:r>
    </w:p>
  </w:footnote>
  <w:footnote w:id="3">
    <w:p w14:paraId="5D9C44F7">
      <w:pPr>
        <w:pStyle w:val="6"/>
        <w:jc w:val="both"/>
        <w:rPr>
          <w:rFonts w:ascii="Garamond" w:hAnsi="Garamond"/>
          <w:sz w:val="20"/>
          <w:szCs w:val="20"/>
        </w:rPr>
      </w:pPr>
      <w:r>
        <w:rPr>
          <w:rStyle w:val="14"/>
          <w:rFonts w:ascii="Garamond" w:hAnsi="Garamond" w:cs="Times New Roman"/>
          <w:sz w:val="20"/>
          <w:szCs w:val="20"/>
        </w:rPr>
        <w:footnoteRef/>
      </w:r>
      <w:r>
        <w:rPr>
          <w:rFonts w:ascii="Garamond" w:hAnsi="Garamond" w:cs="Times New Roman"/>
          <w:sz w:val="20"/>
          <w:szCs w:val="20"/>
        </w:rPr>
        <w:t xml:space="preserve"> We also ran the estimation using 5-degree bins for robustness, which did not have any discernable impact on our results.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8E2A8A"/>
    <w:multiLevelType w:val="multilevel"/>
    <w:tmpl w:val="668E2A8A"/>
    <w:lvl w:ilvl="0" w:tentative="0">
      <w:start w:val="1"/>
      <w:numFmt w:val="decimal"/>
      <w:lvlText w:val="[%1] "/>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1"/>
  <w:bordersDoNotSurroundFooter w:val="1"/>
  <w:documentProtection w:enforcement="0"/>
  <w:defaultTabStop w:val="0"/>
  <w:drawingGridHorizontalSpacing w:val="105"/>
  <w:drawingGridVerticalSpacing w:val="156"/>
  <w:displayHorizontalDrawingGridEvery w:val="0"/>
  <w:displayVerticalDrawingGridEvery w:val="2"/>
  <w:characterSpacingControl w:val="compressPunctuation"/>
  <w:footnotePr>
    <w:footnote w:id="8"/>
    <w:footnote w:id="9"/>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Dc3MTQ3MzYxMjQyMzZT0lEKTi0uzszPAykwNq0FAGF3EfotAAAA"/>
    <w:docVar w:name="commondata" w:val="eyJoZGlkIjoiZjBlZjljMDc5M2EwZGI1ODk3YWU2Y2Y0OGQ5ZTMzMmIifQ=="/>
  </w:docVars>
  <w:rsids>
    <w:rsidRoot w:val="002034E7"/>
    <w:rsid w:val="000006E3"/>
    <w:rsid w:val="000028D8"/>
    <w:rsid w:val="000041B7"/>
    <w:rsid w:val="000113C4"/>
    <w:rsid w:val="00022939"/>
    <w:rsid w:val="00023360"/>
    <w:rsid w:val="0003254D"/>
    <w:rsid w:val="00034AF1"/>
    <w:rsid w:val="000372ED"/>
    <w:rsid w:val="0004021F"/>
    <w:rsid w:val="00040A8A"/>
    <w:rsid w:val="0004275E"/>
    <w:rsid w:val="00054566"/>
    <w:rsid w:val="00055053"/>
    <w:rsid w:val="00056A0B"/>
    <w:rsid w:val="00057F9D"/>
    <w:rsid w:val="00062664"/>
    <w:rsid w:val="0006652A"/>
    <w:rsid w:val="00070035"/>
    <w:rsid w:val="0008054A"/>
    <w:rsid w:val="0008233A"/>
    <w:rsid w:val="0008644A"/>
    <w:rsid w:val="00094691"/>
    <w:rsid w:val="0009634B"/>
    <w:rsid w:val="000A00B3"/>
    <w:rsid w:val="000A264B"/>
    <w:rsid w:val="000A559A"/>
    <w:rsid w:val="000A639F"/>
    <w:rsid w:val="000A7C43"/>
    <w:rsid w:val="000A7D1F"/>
    <w:rsid w:val="000C2235"/>
    <w:rsid w:val="000C23A0"/>
    <w:rsid w:val="000C4902"/>
    <w:rsid w:val="000C504A"/>
    <w:rsid w:val="000C7D6C"/>
    <w:rsid w:val="000D40BA"/>
    <w:rsid w:val="000E16CE"/>
    <w:rsid w:val="000E3A42"/>
    <w:rsid w:val="000E4773"/>
    <w:rsid w:val="000E6969"/>
    <w:rsid w:val="000E6E65"/>
    <w:rsid w:val="000F0114"/>
    <w:rsid w:val="000F5ECD"/>
    <w:rsid w:val="000F6B98"/>
    <w:rsid w:val="000F7C8E"/>
    <w:rsid w:val="001022CA"/>
    <w:rsid w:val="00103445"/>
    <w:rsid w:val="00104DB0"/>
    <w:rsid w:val="001139F0"/>
    <w:rsid w:val="001152DD"/>
    <w:rsid w:val="0012206A"/>
    <w:rsid w:val="0012396E"/>
    <w:rsid w:val="0012479F"/>
    <w:rsid w:val="00124E95"/>
    <w:rsid w:val="00127202"/>
    <w:rsid w:val="0012740E"/>
    <w:rsid w:val="00127603"/>
    <w:rsid w:val="001301AC"/>
    <w:rsid w:val="00132E6B"/>
    <w:rsid w:val="00136FDE"/>
    <w:rsid w:val="001531BD"/>
    <w:rsid w:val="001606EE"/>
    <w:rsid w:val="00160927"/>
    <w:rsid w:val="00163314"/>
    <w:rsid w:val="00164CE2"/>
    <w:rsid w:val="00165DAE"/>
    <w:rsid w:val="0016733F"/>
    <w:rsid w:val="001770D2"/>
    <w:rsid w:val="00177114"/>
    <w:rsid w:val="001773A0"/>
    <w:rsid w:val="001801B2"/>
    <w:rsid w:val="00180B32"/>
    <w:rsid w:val="00181922"/>
    <w:rsid w:val="001900BA"/>
    <w:rsid w:val="0019258C"/>
    <w:rsid w:val="0019362A"/>
    <w:rsid w:val="001957B1"/>
    <w:rsid w:val="0019669E"/>
    <w:rsid w:val="00196B96"/>
    <w:rsid w:val="001A4B0B"/>
    <w:rsid w:val="001B2BD2"/>
    <w:rsid w:val="001B5611"/>
    <w:rsid w:val="001C332F"/>
    <w:rsid w:val="001C460D"/>
    <w:rsid w:val="001C55B1"/>
    <w:rsid w:val="001C5AE7"/>
    <w:rsid w:val="001C5DBB"/>
    <w:rsid w:val="001D2923"/>
    <w:rsid w:val="001D4008"/>
    <w:rsid w:val="001D493D"/>
    <w:rsid w:val="001D548E"/>
    <w:rsid w:val="001D7C33"/>
    <w:rsid w:val="001E0928"/>
    <w:rsid w:val="001E58BE"/>
    <w:rsid w:val="001E7795"/>
    <w:rsid w:val="001F025A"/>
    <w:rsid w:val="001F3FA2"/>
    <w:rsid w:val="0020087C"/>
    <w:rsid w:val="00201786"/>
    <w:rsid w:val="002034E7"/>
    <w:rsid w:val="00203D9E"/>
    <w:rsid w:val="002109A9"/>
    <w:rsid w:val="00213B67"/>
    <w:rsid w:val="00213CBF"/>
    <w:rsid w:val="00214AB6"/>
    <w:rsid w:val="0021742D"/>
    <w:rsid w:val="00225C29"/>
    <w:rsid w:val="0023041B"/>
    <w:rsid w:val="00232288"/>
    <w:rsid w:val="00237E4A"/>
    <w:rsid w:val="00241DBA"/>
    <w:rsid w:val="0024650B"/>
    <w:rsid w:val="0024734F"/>
    <w:rsid w:val="00247FC4"/>
    <w:rsid w:val="002517E5"/>
    <w:rsid w:val="00251A62"/>
    <w:rsid w:val="00260721"/>
    <w:rsid w:val="0027702A"/>
    <w:rsid w:val="00277318"/>
    <w:rsid w:val="00281DF7"/>
    <w:rsid w:val="002837D9"/>
    <w:rsid w:val="00285923"/>
    <w:rsid w:val="00290963"/>
    <w:rsid w:val="00295D8B"/>
    <w:rsid w:val="002A4626"/>
    <w:rsid w:val="002B1BB4"/>
    <w:rsid w:val="002B2A22"/>
    <w:rsid w:val="002B2E54"/>
    <w:rsid w:val="002B6F2E"/>
    <w:rsid w:val="002B7F92"/>
    <w:rsid w:val="002C29FC"/>
    <w:rsid w:val="002C3021"/>
    <w:rsid w:val="002C4E09"/>
    <w:rsid w:val="002C573A"/>
    <w:rsid w:val="002C799F"/>
    <w:rsid w:val="002C7B2E"/>
    <w:rsid w:val="002C7F60"/>
    <w:rsid w:val="002D0977"/>
    <w:rsid w:val="002D3886"/>
    <w:rsid w:val="002D4680"/>
    <w:rsid w:val="002D5000"/>
    <w:rsid w:val="002D5238"/>
    <w:rsid w:val="002D6F50"/>
    <w:rsid w:val="002E17C4"/>
    <w:rsid w:val="002F079A"/>
    <w:rsid w:val="002F4A0A"/>
    <w:rsid w:val="00301F88"/>
    <w:rsid w:val="00307B43"/>
    <w:rsid w:val="00310AF3"/>
    <w:rsid w:val="003121E8"/>
    <w:rsid w:val="00312F9D"/>
    <w:rsid w:val="00317107"/>
    <w:rsid w:val="003220A6"/>
    <w:rsid w:val="00323DFF"/>
    <w:rsid w:val="00325D58"/>
    <w:rsid w:val="003260BF"/>
    <w:rsid w:val="00327F2B"/>
    <w:rsid w:val="00331B39"/>
    <w:rsid w:val="0033252D"/>
    <w:rsid w:val="0033263C"/>
    <w:rsid w:val="0033510E"/>
    <w:rsid w:val="00340F7F"/>
    <w:rsid w:val="00342A28"/>
    <w:rsid w:val="00346382"/>
    <w:rsid w:val="003466F3"/>
    <w:rsid w:val="00347669"/>
    <w:rsid w:val="00347793"/>
    <w:rsid w:val="00365F90"/>
    <w:rsid w:val="0036668F"/>
    <w:rsid w:val="0037248B"/>
    <w:rsid w:val="0037327E"/>
    <w:rsid w:val="00377CDC"/>
    <w:rsid w:val="00381FD8"/>
    <w:rsid w:val="003821AC"/>
    <w:rsid w:val="003900BC"/>
    <w:rsid w:val="00390B7C"/>
    <w:rsid w:val="00391675"/>
    <w:rsid w:val="0039282A"/>
    <w:rsid w:val="00396F83"/>
    <w:rsid w:val="003A294C"/>
    <w:rsid w:val="003B1C0D"/>
    <w:rsid w:val="003B2BB0"/>
    <w:rsid w:val="003B4B36"/>
    <w:rsid w:val="003B57A6"/>
    <w:rsid w:val="003B5ACC"/>
    <w:rsid w:val="003B63CA"/>
    <w:rsid w:val="003C30B4"/>
    <w:rsid w:val="003C3634"/>
    <w:rsid w:val="003C5524"/>
    <w:rsid w:val="003C680F"/>
    <w:rsid w:val="003C6B9F"/>
    <w:rsid w:val="003C6CB6"/>
    <w:rsid w:val="003D30CC"/>
    <w:rsid w:val="003D3937"/>
    <w:rsid w:val="003D4E00"/>
    <w:rsid w:val="003D5A3B"/>
    <w:rsid w:val="003D6309"/>
    <w:rsid w:val="003D750B"/>
    <w:rsid w:val="003E1EA2"/>
    <w:rsid w:val="003E26EE"/>
    <w:rsid w:val="003E3F26"/>
    <w:rsid w:val="003E4E78"/>
    <w:rsid w:val="003F01FB"/>
    <w:rsid w:val="003F1280"/>
    <w:rsid w:val="003F54B5"/>
    <w:rsid w:val="004016E3"/>
    <w:rsid w:val="00407709"/>
    <w:rsid w:val="004119C0"/>
    <w:rsid w:val="00412749"/>
    <w:rsid w:val="0041692B"/>
    <w:rsid w:val="0042210B"/>
    <w:rsid w:val="00430BD4"/>
    <w:rsid w:val="00431726"/>
    <w:rsid w:val="00431886"/>
    <w:rsid w:val="004326E9"/>
    <w:rsid w:val="00433D17"/>
    <w:rsid w:val="00435ED6"/>
    <w:rsid w:val="00442124"/>
    <w:rsid w:val="00442E3C"/>
    <w:rsid w:val="004520DD"/>
    <w:rsid w:val="00452A03"/>
    <w:rsid w:val="004577C2"/>
    <w:rsid w:val="00467906"/>
    <w:rsid w:val="00467D37"/>
    <w:rsid w:val="00470E52"/>
    <w:rsid w:val="00472CA3"/>
    <w:rsid w:val="00473DC5"/>
    <w:rsid w:val="00480A36"/>
    <w:rsid w:val="00483E58"/>
    <w:rsid w:val="00483F09"/>
    <w:rsid w:val="004850D3"/>
    <w:rsid w:val="00485A76"/>
    <w:rsid w:val="0048601F"/>
    <w:rsid w:val="0049053B"/>
    <w:rsid w:val="004944C1"/>
    <w:rsid w:val="00494DE6"/>
    <w:rsid w:val="004977D7"/>
    <w:rsid w:val="004A087E"/>
    <w:rsid w:val="004A483C"/>
    <w:rsid w:val="004B3683"/>
    <w:rsid w:val="004B4984"/>
    <w:rsid w:val="004B6724"/>
    <w:rsid w:val="004C4E00"/>
    <w:rsid w:val="004C58A7"/>
    <w:rsid w:val="004C5EF1"/>
    <w:rsid w:val="004D069D"/>
    <w:rsid w:val="004D444F"/>
    <w:rsid w:val="004D4A72"/>
    <w:rsid w:val="004D68DD"/>
    <w:rsid w:val="004D718F"/>
    <w:rsid w:val="004E07DA"/>
    <w:rsid w:val="004E0F6E"/>
    <w:rsid w:val="004E109A"/>
    <w:rsid w:val="004E131E"/>
    <w:rsid w:val="004E2B3E"/>
    <w:rsid w:val="004E2E1E"/>
    <w:rsid w:val="004E535F"/>
    <w:rsid w:val="004F0C7D"/>
    <w:rsid w:val="004F7357"/>
    <w:rsid w:val="00501A6D"/>
    <w:rsid w:val="0050346D"/>
    <w:rsid w:val="0050382A"/>
    <w:rsid w:val="005057E4"/>
    <w:rsid w:val="00506861"/>
    <w:rsid w:val="00507B08"/>
    <w:rsid w:val="005130A9"/>
    <w:rsid w:val="005130C4"/>
    <w:rsid w:val="0051395E"/>
    <w:rsid w:val="00513B68"/>
    <w:rsid w:val="00520DED"/>
    <w:rsid w:val="00521221"/>
    <w:rsid w:val="00521FCD"/>
    <w:rsid w:val="00522BC2"/>
    <w:rsid w:val="0052627A"/>
    <w:rsid w:val="00526424"/>
    <w:rsid w:val="00527C34"/>
    <w:rsid w:val="00530B93"/>
    <w:rsid w:val="00531673"/>
    <w:rsid w:val="00535E2F"/>
    <w:rsid w:val="0053605F"/>
    <w:rsid w:val="0053755F"/>
    <w:rsid w:val="005402D3"/>
    <w:rsid w:val="00540401"/>
    <w:rsid w:val="005446E5"/>
    <w:rsid w:val="00545515"/>
    <w:rsid w:val="00546314"/>
    <w:rsid w:val="0054635E"/>
    <w:rsid w:val="00547682"/>
    <w:rsid w:val="005502D3"/>
    <w:rsid w:val="0055236F"/>
    <w:rsid w:val="0055275E"/>
    <w:rsid w:val="0055458A"/>
    <w:rsid w:val="00554D6C"/>
    <w:rsid w:val="005554D9"/>
    <w:rsid w:val="00560C2F"/>
    <w:rsid w:val="00562490"/>
    <w:rsid w:val="00565EB4"/>
    <w:rsid w:val="00571056"/>
    <w:rsid w:val="005711E8"/>
    <w:rsid w:val="005754DB"/>
    <w:rsid w:val="0057701A"/>
    <w:rsid w:val="00582373"/>
    <w:rsid w:val="00585514"/>
    <w:rsid w:val="005863AE"/>
    <w:rsid w:val="00590768"/>
    <w:rsid w:val="00590E41"/>
    <w:rsid w:val="00595D78"/>
    <w:rsid w:val="005A344F"/>
    <w:rsid w:val="005A5A84"/>
    <w:rsid w:val="005A7369"/>
    <w:rsid w:val="005B0982"/>
    <w:rsid w:val="005B3456"/>
    <w:rsid w:val="005B5936"/>
    <w:rsid w:val="005B62F0"/>
    <w:rsid w:val="005B6A7B"/>
    <w:rsid w:val="005B70C1"/>
    <w:rsid w:val="005C0360"/>
    <w:rsid w:val="005C09DF"/>
    <w:rsid w:val="005C65B3"/>
    <w:rsid w:val="005D11FC"/>
    <w:rsid w:val="005D23F6"/>
    <w:rsid w:val="005E3725"/>
    <w:rsid w:val="005E4BFB"/>
    <w:rsid w:val="005F1CBE"/>
    <w:rsid w:val="006030B4"/>
    <w:rsid w:val="00616848"/>
    <w:rsid w:val="00617DEB"/>
    <w:rsid w:val="006245F6"/>
    <w:rsid w:val="00627FD7"/>
    <w:rsid w:val="00630C12"/>
    <w:rsid w:val="00631BEA"/>
    <w:rsid w:val="0063393C"/>
    <w:rsid w:val="006343FA"/>
    <w:rsid w:val="00637142"/>
    <w:rsid w:val="00637C76"/>
    <w:rsid w:val="0064083D"/>
    <w:rsid w:val="00641A0A"/>
    <w:rsid w:val="00643B08"/>
    <w:rsid w:val="00650AFB"/>
    <w:rsid w:val="00651AEB"/>
    <w:rsid w:val="00653A22"/>
    <w:rsid w:val="0066123C"/>
    <w:rsid w:val="00663008"/>
    <w:rsid w:val="006631FB"/>
    <w:rsid w:val="00663B86"/>
    <w:rsid w:val="006640BE"/>
    <w:rsid w:val="00665275"/>
    <w:rsid w:val="00671175"/>
    <w:rsid w:val="00677E42"/>
    <w:rsid w:val="00677EE5"/>
    <w:rsid w:val="0068055F"/>
    <w:rsid w:val="006827DB"/>
    <w:rsid w:val="00685ECB"/>
    <w:rsid w:val="00686176"/>
    <w:rsid w:val="00690618"/>
    <w:rsid w:val="006A03E6"/>
    <w:rsid w:val="006A58AC"/>
    <w:rsid w:val="006A74F6"/>
    <w:rsid w:val="006B3B74"/>
    <w:rsid w:val="006B604C"/>
    <w:rsid w:val="006B63EC"/>
    <w:rsid w:val="006B69AB"/>
    <w:rsid w:val="006B6DF9"/>
    <w:rsid w:val="006B702E"/>
    <w:rsid w:val="006D539A"/>
    <w:rsid w:val="006D6C76"/>
    <w:rsid w:val="006E1B64"/>
    <w:rsid w:val="006E2593"/>
    <w:rsid w:val="006E38F6"/>
    <w:rsid w:val="006F043A"/>
    <w:rsid w:val="006F0A33"/>
    <w:rsid w:val="006F1517"/>
    <w:rsid w:val="006F6390"/>
    <w:rsid w:val="006F6B55"/>
    <w:rsid w:val="006F6E76"/>
    <w:rsid w:val="00700A31"/>
    <w:rsid w:val="0070204A"/>
    <w:rsid w:val="00705177"/>
    <w:rsid w:val="00710A69"/>
    <w:rsid w:val="00717802"/>
    <w:rsid w:val="007206B1"/>
    <w:rsid w:val="00720893"/>
    <w:rsid w:val="0072159E"/>
    <w:rsid w:val="00726523"/>
    <w:rsid w:val="00727F83"/>
    <w:rsid w:val="00731D3B"/>
    <w:rsid w:val="00734FA9"/>
    <w:rsid w:val="0073602B"/>
    <w:rsid w:val="0073642F"/>
    <w:rsid w:val="00742663"/>
    <w:rsid w:val="00744264"/>
    <w:rsid w:val="007451D4"/>
    <w:rsid w:val="00746882"/>
    <w:rsid w:val="00752EDA"/>
    <w:rsid w:val="007532B8"/>
    <w:rsid w:val="00753867"/>
    <w:rsid w:val="007614B6"/>
    <w:rsid w:val="007672D1"/>
    <w:rsid w:val="00773E3B"/>
    <w:rsid w:val="00774056"/>
    <w:rsid w:val="00775DEF"/>
    <w:rsid w:val="007769E6"/>
    <w:rsid w:val="00777138"/>
    <w:rsid w:val="00781267"/>
    <w:rsid w:val="007825CA"/>
    <w:rsid w:val="00782CCC"/>
    <w:rsid w:val="00782E00"/>
    <w:rsid w:val="00784EDD"/>
    <w:rsid w:val="00785238"/>
    <w:rsid w:val="007868EC"/>
    <w:rsid w:val="00786F14"/>
    <w:rsid w:val="007964FC"/>
    <w:rsid w:val="007A1356"/>
    <w:rsid w:val="007A29D6"/>
    <w:rsid w:val="007A4E8E"/>
    <w:rsid w:val="007A79ED"/>
    <w:rsid w:val="007B29C0"/>
    <w:rsid w:val="007B590B"/>
    <w:rsid w:val="007C03F7"/>
    <w:rsid w:val="007C3BD5"/>
    <w:rsid w:val="007C40B8"/>
    <w:rsid w:val="007C6434"/>
    <w:rsid w:val="007C7A4C"/>
    <w:rsid w:val="007D14BF"/>
    <w:rsid w:val="007E3689"/>
    <w:rsid w:val="007E4D98"/>
    <w:rsid w:val="007E5A59"/>
    <w:rsid w:val="007E7E2C"/>
    <w:rsid w:val="007F3DDF"/>
    <w:rsid w:val="007F3ECF"/>
    <w:rsid w:val="007F47C4"/>
    <w:rsid w:val="007F4C66"/>
    <w:rsid w:val="007F7017"/>
    <w:rsid w:val="007F7CCA"/>
    <w:rsid w:val="00801456"/>
    <w:rsid w:val="00802873"/>
    <w:rsid w:val="00804C12"/>
    <w:rsid w:val="00811AE6"/>
    <w:rsid w:val="00812CA4"/>
    <w:rsid w:val="00813070"/>
    <w:rsid w:val="008218AF"/>
    <w:rsid w:val="0083068F"/>
    <w:rsid w:val="00834BFC"/>
    <w:rsid w:val="0084189E"/>
    <w:rsid w:val="00844617"/>
    <w:rsid w:val="00846EAA"/>
    <w:rsid w:val="008475E4"/>
    <w:rsid w:val="00853AD2"/>
    <w:rsid w:val="00855144"/>
    <w:rsid w:val="00862BD5"/>
    <w:rsid w:val="00866EC5"/>
    <w:rsid w:val="00867BC1"/>
    <w:rsid w:val="008752E8"/>
    <w:rsid w:val="00877829"/>
    <w:rsid w:val="008824AC"/>
    <w:rsid w:val="00883266"/>
    <w:rsid w:val="00887EC5"/>
    <w:rsid w:val="0089007C"/>
    <w:rsid w:val="00892138"/>
    <w:rsid w:val="00892F96"/>
    <w:rsid w:val="008939BB"/>
    <w:rsid w:val="00893C69"/>
    <w:rsid w:val="00893FED"/>
    <w:rsid w:val="00894143"/>
    <w:rsid w:val="00894BA5"/>
    <w:rsid w:val="00894E7C"/>
    <w:rsid w:val="0089621D"/>
    <w:rsid w:val="00897736"/>
    <w:rsid w:val="008A323E"/>
    <w:rsid w:val="008A4301"/>
    <w:rsid w:val="008A5193"/>
    <w:rsid w:val="008B1CD4"/>
    <w:rsid w:val="008C4B85"/>
    <w:rsid w:val="008D2052"/>
    <w:rsid w:val="008D2839"/>
    <w:rsid w:val="008D5654"/>
    <w:rsid w:val="008E14C3"/>
    <w:rsid w:val="008E2532"/>
    <w:rsid w:val="008E302D"/>
    <w:rsid w:val="008E3795"/>
    <w:rsid w:val="008F0F40"/>
    <w:rsid w:val="008F1793"/>
    <w:rsid w:val="008F2F44"/>
    <w:rsid w:val="008F4E99"/>
    <w:rsid w:val="008F5A7E"/>
    <w:rsid w:val="008F71EF"/>
    <w:rsid w:val="0090710A"/>
    <w:rsid w:val="00910686"/>
    <w:rsid w:val="0091268E"/>
    <w:rsid w:val="009132E9"/>
    <w:rsid w:val="00915D9C"/>
    <w:rsid w:val="00915E69"/>
    <w:rsid w:val="0091658D"/>
    <w:rsid w:val="009165D8"/>
    <w:rsid w:val="0091689B"/>
    <w:rsid w:val="00917346"/>
    <w:rsid w:val="00920B03"/>
    <w:rsid w:val="00921B1C"/>
    <w:rsid w:val="0092296A"/>
    <w:rsid w:val="00922F2B"/>
    <w:rsid w:val="00925F72"/>
    <w:rsid w:val="00930C06"/>
    <w:rsid w:val="009315BD"/>
    <w:rsid w:val="00931F62"/>
    <w:rsid w:val="0093270D"/>
    <w:rsid w:val="00933784"/>
    <w:rsid w:val="00936BA0"/>
    <w:rsid w:val="00940D21"/>
    <w:rsid w:val="00951F04"/>
    <w:rsid w:val="00952673"/>
    <w:rsid w:val="00953833"/>
    <w:rsid w:val="0095500F"/>
    <w:rsid w:val="00957782"/>
    <w:rsid w:val="009600ED"/>
    <w:rsid w:val="00961561"/>
    <w:rsid w:val="00961AEA"/>
    <w:rsid w:val="0096275B"/>
    <w:rsid w:val="009705D8"/>
    <w:rsid w:val="00970808"/>
    <w:rsid w:val="009718D2"/>
    <w:rsid w:val="00971B4E"/>
    <w:rsid w:val="00974940"/>
    <w:rsid w:val="009759BE"/>
    <w:rsid w:val="00990920"/>
    <w:rsid w:val="00991667"/>
    <w:rsid w:val="00992240"/>
    <w:rsid w:val="009A068F"/>
    <w:rsid w:val="009A2566"/>
    <w:rsid w:val="009A2C56"/>
    <w:rsid w:val="009A5765"/>
    <w:rsid w:val="009A5D39"/>
    <w:rsid w:val="009A7112"/>
    <w:rsid w:val="009B27AA"/>
    <w:rsid w:val="009B7278"/>
    <w:rsid w:val="009C164E"/>
    <w:rsid w:val="009C2E03"/>
    <w:rsid w:val="009C2FAC"/>
    <w:rsid w:val="009C4FEA"/>
    <w:rsid w:val="009C6880"/>
    <w:rsid w:val="009D2032"/>
    <w:rsid w:val="009D450E"/>
    <w:rsid w:val="009D636C"/>
    <w:rsid w:val="009D6A3B"/>
    <w:rsid w:val="009E4B64"/>
    <w:rsid w:val="009F0128"/>
    <w:rsid w:val="009F2A00"/>
    <w:rsid w:val="009F73B6"/>
    <w:rsid w:val="009F7B63"/>
    <w:rsid w:val="00A0057A"/>
    <w:rsid w:val="00A020F3"/>
    <w:rsid w:val="00A06244"/>
    <w:rsid w:val="00A1039D"/>
    <w:rsid w:val="00A1234D"/>
    <w:rsid w:val="00A1336A"/>
    <w:rsid w:val="00A13F2F"/>
    <w:rsid w:val="00A165AE"/>
    <w:rsid w:val="00A2649C"/>
    <w:rsid w:val="00A27EE5"/>
    <w:rsid w:val="00A320C5"/>
    <w:rsid w:val="00A3386B"/>
    <w:rsid w:val="00A35D47"/>
    <w:rsid w:val="00A417BC"/>
    <w:rsid w:val="00A42035"/>
    <w:rsid w:val="00A42C72"/>
    <w:rsid w:val="00A5777A"/>
    <w:rsid w:val="00A57E74"/>
    <w:rsid w:val="00A63A39"/>
    <w:rsid w:val="00A83BAA"/>
    <w:rsid w:val="00A8584A"/>
    <w:rsid w:val="00A90457"/>
    <w:rsid w:val="00A939B7"/>
    <w:rsid w:val="00AA1876"/>
    <w:rsid w:val="00AA280E"/>
    <w:rsid w:val="00AA326F"/>
    <w:rsid w:val="00AA3EEA"/>
    <w:rsid w:val="00AA569C"/>
    <w:rsid w:val="00AA7911"/>
    <w:rsid w:val="00AB0908"/>
    <w:rsid w:val="00AB099A"/>
    <w:rsid w:val="00AB1747"/>
    <w:rsid w:val="00AB178C"/>
    <w:rsid w:val="00AB483B"/>
    <w:rsid w:val="00AB6BD7"/>
    <w:rsid w:val="00AC3834"/>
    <w:rsid w:val="00AC3E84"/>
    <w:rsid w:val="00AC5100"/>
    <w:rsid w:val="00AC7F29"/>
    <w:rsid w:val="00AD0B73"/>
    <w:rsid w:val="00AD217D"/>
    <w:rsid w:val="00AD4674"/>
    <w:rsid w:val="00AE19C7"/>
    <w:rsid w:val="00AE1F3D"/>
    <w:rsid w:val="00AE23C9"/>
    <w:rsid w:val="00AE2C8D"/>
    <w:rsid w:val="00AE3866"/>
    <w:rsid w:val="00AE56DC"/>
    <w:rsid w:val="00AF1D85"/>
    <w:rsid w:val="00AF570E"/>
    <w:rsid w:val="00AF77B7"/>
    <w:rsid w:val="00B0274B"/>
    <w:rsid w:val="00B0762F"/>
    <w:rsid w:val="00B147C5"/>
    <w:rsid w:val="00B22CA3"/>
    <w:rsid w:val="00B24B11"/>
    <w:rsid w:val="00B25464"/>
    <w:rsid w:val="00B25C66"/>
    <w:rsid w:val="00B333EB"/>
    <w:rsid w:val="00B3649A"/>
    <w:rsid w:val="00B40128"/>
    <w:rsid w:val="00B43CE7"/>
    <w:rsid w:val="00B46461"/>
    <w:rsid w:val="00B5099D"/>
    <w:rsid w:val="00B5341E"/>
    <w:rsid w:val="00B57E2C"/>
    <w:rsid w:val="00B609D6"/>
    <w:rsid w:val="00B614E7"/>
    <w:rsid w:val="00B6336B"/>
    <w:rsid w:val="00B64180"/>
    <w:rsid w:val="00B737CC"/>
    <w:rsid w:val="00B77493"/>
    <w:rsid w:val="00B80E7F"/>
    <w:rsid w:val="00B94884"/>
    <w:rsid w:val="00B958BD"/>
    <w:rsid w:val="00B96384"/>
    <w:rsid w:val="00BA17F2"/>
    <w:rsid w:val="00BA5542"/>
    <w:rsid w:val="00BA61C9"/>
    <w:rsid w:val="00BB083E"/>
    <w:rsid w:val="00BB6851"/>
    <w:rsid w:val="00BB7A65"/>
    <w:rsid w:val="00BC5ADA"/>
    <w:rsid w:val="00BC6B72"/>
    <w:rsid w:val="00BC6C17"/>
    <w:rsid w:val="00BD2232"/>
    <w:rsid w:val="00BE0CA1"/>
    <w:rsid w:val="00BE344E"/>
    <w:rsid w:val="00BE3CCC"/>
    <w:rsid w:val="00BF00E4"/>
    <w:rsid w:val="00BF52E5"/>
    <w:rsid w:val="00BF6BC9"/>
    <w:rsid w:val="00BF7148"/>
    <w:rsid w:val="00C00992"/>
    <w:rsid w:val="00C009F8"/>
    <w:rsid w:val="00C05286"/>
    <w:rsid w:val="00C0530B"/>
    <w:rsid w:val="00C06C46"/>
    <w:rsid w:val="00C07831"/>
    <w:rsid w:val="00C1539A"/>
    <w:rsid w:val="00C16B5A"/>
    <w:rsid w:val="00C16D4F"/>
    <w:rsid w:val="00C176BF"/>
    <w:rsid w:val="00C2596D"/>
    <w:rsid w:val="00C26A9D"/>
    <w:rsid w:val="00C27534"/>
    <w:rsid w:val="00C27629"/>
    <w:rsid w:val="00C335AC"/>
    <w:rsid w:val="00C33D7D"/>
    <w:rsid w:val="00C466E3"/>
    <w:rsid w:val="00C46776"/>
    <w:rsid w:val="00C46DD8"/>
    <w:rsid w:val="00C47914"/>
    <w:rsid w:val="00C53336"/>
    <w:rsid w:val="00C540D6"/>
    <w:rsid w:val="00C65952"/>
    <w:rsid w:val="00C66CD3"/>
    <w:rsid w:val="00C671DA"/>
    <w:rsid w:val="00C77256"/>
    <w:rsid w:val="00C83126"/>
    <w:rsid w:val="00C86BBA"/>
    <w:rsid w:val="00C87A39"/>
    <w:rsid w:val="00C95EA6"/>
    <w:rsid w:val="00C961D5"/>
    <w:rsid w:val="00CA1DC5"/>
    <w:rsid w:val="00CA438E"/>
    <w:rsid w:val="00CA4CFE"/>
    <w:rsid w:val="00CA4D67"/>
    <w:rsid w:val="00CA5563"/>
    <w:rsid w:val="00CB05B6"/>
    <w:rsid w:val="00CB0C1D"/>
    <w:rsid w:val="00CB0CD6"/>
    <w:rsid w:val="00CB176B"/>
    <w:rsid w:val="00CB39BE"/>
    <w:rsid w:val="00CC1137"/>
    <w:rsid w:val="00CC1D81"/>
    <w:rsid w:val="00CC704B"/>
    <w:rsid w:val="00CD0F33"/>
    <w:rsid w:val="00CE0DA9"/>
    <w:rsid w:val="00CE3230"/>
    <w:rsid w:val="00D079A9"/>
    <w:rsid w:val="00D121C1"/>
    <w:rsid w:val="00D14CF2"/>
    <w:rsid w:val="00D17E37"/>
    <w:rsid w:val="00D21F35"/>
    <w:rsid w:val="00D24418"/>
    <w:rsid w:val="00D25EE0"/>
    <w:rsid w:val="00D30541"/>
    <w:rsid w:val="00D325A9"/>
    <w:rsid w:val="00D34AE5"/>
    <w:rsid w:val="00D40E7F"/>
    <w:rsid w:val="00D43B02"/>
    <w:rsid w:val="00D44CBB"/>
    <w:rsid w:val="00D54D81"/>
    <w:rsid w:val="00D5539E"/>
    <w:rsid w:val="00D60885"/>
    <w:rsid w:val="00D622CD"/>
    <w:rsid w:val="00D67944"/>
    <w:rsid w:val="00D70DD1"/>
    <w:rsid w:val="00D72E7C"/>
    <w:rsid w:val="00D76074"/>
    <w:rsid w:val="00D762EA"/>
    <w:rsid w:val="00D80265"/>
    <w:rsid w:val="00D839D2"/>
    <w:rsid w:val="00D84107"/>
    <w:rsid w:val="00D859CC"/>
    <w:rsid w:val="00D87C81"/>
    <w:rsid w:val="00D95D8B"/>
    <w:rsid w:val="00DA52F3"/>
    <w:rsid w:val="00DA74F7"/>
    <w:rsid w:val="00DB003F"/>
    <w:rsid w:val="00DB01E4"/>
    <w:rsid w:val="00DB55AC"/>
    <w:rsid w:val="00DC070F"/>
    <w:rsid w:val="00DC114A"/>
    <w:rsid w:val="00DC1175"/>
    <w:rsid w:val="00DC4166"/>
    <w:rsid w:val="00DD1BC4"/>
    <w:rsid w:val="00DE1730"/>
    <w:rsid w:val="00DE199A"/>
    <w:rsid w:val="00DE1C8C"/>
    <w:rsid w:val="00DF2050"/>
    <w:rsid w:val="00DF2450"/>
    <w:rsid w:val="00DF2C3E"/>
    <w:rsid w:val="00E016C7"/>
    <w:rsid w:val="00E04D18"/>
    <w:rsid w:val="00E0628A"/>
    <w:rsid w:val="00E066A6"/>
    <w:rsid w:val="00E11BE4"/>
    <w:rsid w:val="00E160F8"/>
    <w:rsid w:val="00E16769"/>
    <w:rsid w:val="00E20383"/>
    <w:rsid w:val="00E2045B"/>
    <w:rsid w:val="00E20861"/>
    <w:rsid w:val="00E44621"/>
    <w:rsid w:val="00E44BDD"/>
    <w:rsid w:val="00E462FF"/>
    <w:rsid w:val="00E50425"/>
    <w:rsid w:val="00E60CAA"/>
    <w:rsid w:val="00E61261"/>
    <w:rsid w:val="00E654F4"/>
    <w:rsid w:val="00E6797C"/>
    <w:rsid w:val="00E74059"/>
    <w:rsid w:val="00E747BD"/>
    <w:rsid w:val="00E80AF4"/>
    <w:rsid w:val="00E84FB1"/>
    <w:rsid w:val="00E85B55"/>
    <w:rsid w:val="00E86DE1"/>
    <w:rsid w:val="00E90D61"/>
    <w:rsid w:val="00E92802"/>
    <w:rsid w:val="00EA1D01"/>
    <w:rsid w:val="00EA6F38"/>
    <w:rsid w:val="00EB7C1E"/>
    <w:rsid w:val="00EC30F8"/>
    <w:rsid w:val="00EC700D"/>
    <w:rsid w:val="00ED31D3"/>
    <w:rsid w:val="00ED4FC6"/>
    <w:rsid w:val="00ED57B7"/>
    <w:rsid w:val="00EE0E09"/>
    <w:rsid w:val="00EE0FAE"/>
    <w:rsid w:val="00EE1D17"/>
    <w:rsid w:val="00EE34AC"/>
    <w:rsid w:val="00EF21E6"/>
    <w:rsid w:val="00EF4129"/>
    <w:rsid w:val="00EF468C"/>
    <w:rsid w:val="00EF6C3B"/>
    <w:rsid w:val="00F0270D"/>
    <w:rsid w:val="00F030E1"/>
    <w:rsid w:val="00F0312B"/>
    <w:rsid w:val="00F04C53"/>
    <w:rsid w:val="00F06ABF"/>
    <w:rsid w:val="00F109A5"/>
    <w:rsid w:val="00F116BD"/>
    <w:rsid w:val="00F11ACE"/>
    <w:rsid w:val="00F14BD6"/>
    <w:rsid w:val="00F210E0"/>
    <w:rsid w:val="00F230B8"/>
    <w:rsid w:val="00F26F1E"/>
    <w:rsid w:val="00F3026C"/>
    <w:rsid w:val="00F30F6F"/>
    <w:rsid w:val="00F331A1"/>
    <w:rsid w:val="00F33211"/>
    <w:rsid w:val="00F33E69"/>
    <w:rsid w:val="00F35100"/>
    <w:rsid w:val="00F444C5"/>
    <w:rsid w:val="00F46507"/>
    <w:rsid w:val="00F5265D"/>
    <w:rsid w:val="00F53C8D"/>
    <w:rsid w:val="00F5461F"/>
    <w:rsid w:val="00F557AB"/>
    <w:rsid w:val="00F56412"/>
    <w:rsid w:val="00F61235"/>
    <w:rsid w:val="00F62380"/>
    <w:rsid w:val="00F64F14"/>
    <w:rsid w:val="00F6751F"/>
    <w:rsid w:val="00F70EB5"/>
    <w:rsid w:val="00F7438B"/>
    <w:rsid w:val="00F743E2"/>
    <w:rsid w:val="00F75F3C"/>
    <w:rsid w:val="00F7691F"/>
    <w:rsid w:val="00F8180C"/>
    <w:rsid w:val="00F83F4C"/>
    <w:rsid w:val="00F866D1"/>
    <w:rsid w:val="00F95AB7"/>
    <w:rsid w:val="00FA0229"/>
    <w:rsid w:val="00FA7A03"/>
    <w:rsid w:val="00FB6282"/>
    <w:rsid w:val="00FB6F1C"/>
    <w:rsid w:val="00FC02FA"/>
    <w:rsid w:val="00FC2540"/>
    <w:rsid w:val="00FC39A5"/>
    <w:rsid w:val="00FC5179"/>
    <w:rsid w:val="00FC6AB6"/>
    <w:rsid w:val="00FC6C2C"/>
    <w:rsid w:val="00FC7368"/>
    <w:rsid w:val="00FD029B"/>
    <w:rsid w:val="00FD41FC"/>
    <w:rsid w:val="00FD6607"/>
    <w:rsid w:val="00FE28B9"/>
    <w:rsid w:val="00FE3B63"/>
    <w:rsid w:val="00FE6CAE"/>
    <w:rsid w:val="00FE7841"/>
    <w:rsid w:val="00FF132B"/>
    <w:rsid w:val="00FF15FA"/>
    <w:rsid w:val="00FF264E"/>
    <w:rsid w:val="00FF5D10"/>
    <w:rsid w:val="00FF6188"/>
    <w:rsid w:val="5647342D"/>
    <w:rsid w:val="6CDE4C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0" w:semiHidden="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5"/>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2"/>
    <w:unhideWhenUsed/>
    <w:qFormat/>
    <w:uiPriority w:val="99"/>
    <w:rPr>
      <w:sz w:val="20"/>
      <w:szCs w:val="20"/>
    </w:rPr>
  </w:style>
  <w:style w:type="paragraph" w:styleId="4">
    <w:name w:val="footer"/>
    <w:basedOn w:val="1"/>
    <w:link w:val="17"/>
    <w:unhideWhenUsed/>
    <w:qFormat/>
    <w:uiPriority w:val="99"/>
    <w:pPr>
      <w:tabs>
        <w:tab w:val="center" w:pos="4153"/>
        <w:tab w:val="right" w:pos="8306"/>
      </w:tabs>
      <w:snapToGrid w:val="0"/>
      <w:jc w:val="left"/>
    </w:pPr>
    <w:rPr>
      <w:sz w:val="18"/>
      <w:szCs w:val="18"/>
    </w:rPr>
  </w:style>
  <w:style w:type="paragraph" w:styleId="5">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link w:val="19"/>
    <w:unhideWhenUsed/>
    <w:qFormat/>
    <w:uiPriority w:val="9"/>
    <w:pPr>
      <w:snapToGrid w:val="0"/>
      <w:jc w:val="left"/>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annotation subject"/>
    <w:basedOn w:val="3"/>
    <w:next w:val="3"/>
    <w:link w:val="23"/>
    <w:semiHidden/>
    <w:unhideWhenUsed/>
    <w:qFormat/>
    <w:uiPriority w:val="99"/>
    <w:rPr>
      <w:b/>
      <w:bCs/>
    </w:rPr>
  </w:style>
  <w:style w:type="character" w:styleId="11">
    <w:name w:val="Strong"/>
    <w:basedOn w:val="10"/>
    <w:qFormat/>
    <w:uiPriority w:val="22"/>
    <w:rPr>
      <w:b/>
      <w:bCs/>
    </w:rPr>
  </w:style>
  <w:style w:type="character" w:styleId="12">
    <w:name w:val="Hyperlink"/>
    <w:basedOn w:val="10"/>
    <w:unhideWhenUsed/>
    <w:qFormat/>
    <w:uiPriority w:val="99"/>
    <w:rPr>
      <w:color w:val="0563C1" w:themeColor="hyperlink"/>
      <w:u w:val="single"/>
      <w14:textFill>
        <w14:solidFill>
          <w14:schemeClr w14:val="hlink"/>
        </w14:solidFill>
      </w14:textFill>
    </w:rPr>
  </w:style>
  <w:style w:type="character" w:styleId="13">
    <w:name w:val="annotation reference"/>
    <w:basedOn w:val="10"/>
    <w:semiHidden/>
    <w:unhideWhenUsed/>
    <w:qFormat/>
    <w:uiPriority w:val="99"/>
    <w:rPr>
      <w:sz w:val="16"/>
      <w:szCs w:val="16"/>
    </w:rPr>
  </w:style>
  <w:style w:type="character" w:styleId="14">
    <w:name w:val="footnote reference"/>
    <w:basedOn w:val="10"/>
    <w:unhideWhenUsed/>
    <w:qFormat/>
    <w:uiPriority w:val="0"/>
    <w:rPr>
      <w:vertAlign w:val="superscript"/>
    </w:rPr>
  </w:style>
  <w:style w:type="character" w:customStyle="1" w:styleId="15">
    <w:name w:val="标题 2 字符"/>
    <w:basedOn w:val="10"/>
    <w:link w:val="2"/>
    <w:qFormat/>
    <w:uiPriority w:val="9"/>
    <w:rPr>
      <w:rFonts w:ascii="宋体" w:hAnsi="宋体" w:eastAsia="宋体" w:cs="宋体"/>
      <w:b/>
      <w:bCs/>
      <w:kern w:val="0"/>
      <w:sz w:val="36"/>
      <w:szCs w:val="36"/>
    </w:rPr>
  </w:style>
  <w:style w:type="character" w:customStyle="1" w:styleId="16">
    <w:name w:val="页眉 字符"/>
    <w:basedOn w:val="10"/>
    <w:link w:val="5"/>
    <w:qFormat/>
    <w:uiPriority w:val="99"/>
    <w:rPr>
      <w:sz w:val="18"/>
      <w:szCs w:val="18"/>
    </w:rPr>
  </w:style>
  <w:style w:type="character" w:customStyle="1" w:styleId="17">
    <w:name w:val="页脚 字符"/>
    <w:basedOn w:val="10"/>
    <w:link w:val="4"/>
    <w:qFormat/>
    <w:uiPriority w:val="99"/>
    <w:rPr>
      <w:sz w:val="18"/>
      <w:szCs w:val="18"/>
    </w:rPr>
  </w:style>
  <w:style w:type="paragraph" w:styleId="18">
    <w:name w:val="List Paragraph"/>
    <w:basedOn w:val="1"/>
    <w:qFormat/>
    <w:uiPriority w:val="34"/>
    <w:pPr>
      <w:widowControl/>
      <w:ind w:firstLine="420" w:firstLineChars="200"/>
      <w:jc w:val="left"/>
    </w:pPr>
    <w:rPr>
      <w:kern w:val="0"/>
      <w:sz w:val="24"/>
      <w:szCs w:val="24"/>
      <w:lang w:eastAsia="en-US"/>
    </w:rPr>
  </w:style>
  <w:style w:type="character" w:customStyle="1" w:styleId="19">
    <w:name w:val="脚注文本 字符"/>
    <w:basedOn w:val="10"/>
    <w:link w:val="6"/>
    <w:qFormat/>
    <w:uiPriority w:val="9"/>
    <w:rPr>
      <w:sz w:val="18"/>
      <w:szCs w:val="18"/>
    </w:rPr>
  </w:style>
  <w:style w:type="character" w:customStyle="1" w:styleId="20">
    <w:name w:val="Unresolved Mention"/>
    <w:basedOn w:val="10"/>
    <w:semiHidden/>
    <w:unhideWhenUsed/>
    <w:qFormat/>
    <w:uiPriority w:val="99"/>
    <w:rPr>
      <w:color w:val="605E5C"/>
      <w:shd w:val="clear" w:color="auto" w:fill="E1DFDD"/>
    </w:rPr>
  </w:style>
  <w:style w:type="paragraph" w:customStyle="1" w:styleId="21">
    <w:name w:val="Revision"/>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2">
    <w:name w:val="批注文字 字符"/>
    <w:basedOn w:val="10"/>
    <w:link w:val="3"/>
    <w:qFormat/>
    <w:uiPriority w:val="99"/>
    <w:rPr>
      <w:sz w:val="20"/>
      <w:szCs w:val="20"/>
    </w:rPr>
  </w:style>
  <w:style w:type="character" w:customStyle="1" w:styleId="23">
    <w:name w:val="批注主题 字符"/>
    <w:basedOn w:val="22"/>
    <w:link w:val="8"/>
    <w:semiHidden/>
    <w:qFormat/>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tiff"/><Relationship Id="rId8" Type="http://schemas.openxmlformats.org/officeDocument/2006/relationships/image" Target="media/image3.tiff"/><Relationship Id="rId7" Type="http://schemas.openxmlformats.org/officeDocument/2006/relationships/image" Target="media/image2.tiff"/><Relationship Id="rId6" Type="http://schemas.openxmlformats.org/officeDocument/2006/relationships/image" Target="media/image1.tiff"/><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tiff"/><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D63F5-B713-47EF-86BE-7D183475FE04}">
  <ds:schemaRefs/>
</ds:datastoreItem>
</file>

<file path=docProps/app.xml><?xml version="1.0" encoding="utf-8"?>
<Properties xmlns="http://schemas.openxmlformats.org/officeDocument/2006/extended-properties" xmlns:vt="http://schemas.openxmlformats.org/officeDocument/2006/docPropsVTypes">
  <Template>Normal</Template>
  <Pages>30</Pages>
  <Words>2675</Words>
  <Characters>14658</Characters>
  <Lines>319</Lines>
  <Paragraphs>89</Paragraphs>
  <TotalTime>397</TotalTime>
  <ScaleCrop>false</ScaleCrop>
  <LinksUpToDate>false</LinksUpToDate>
  <CharactersWithSpaces>17229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2025-01-19T11:15:00Z</dcterms:created>
  <dc:creator>Z Chen</dc:creator>
  <cp:lastModifiedBy>余祺可昕</cp:lastModifiedBy>
  <cp:lastPrinted>2025-01-21T14:14:00Z</cp:lastPrinted>
  <dcterms:modified xsi:type="dcterms:W3CDTF">2026-02-22T02:36:00Z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E1A0ACD5DD51480CB98E236A3589C98C_13</vt:lpwstr>
  </property>
  <property fmtid="{D5CDD505-2E9C-101B-9397-08002B2CF9AE}" pid="4" name="KSOTemplateDocerSaveRecord">
    <vt:lpwstr>eyJoZGlkIjoiMWJmYmVhMGQ2YWQwOTc0ZDFkYmVkZTE0NzFkNThlYzIiLCJ1c2VySWQiOiIzMTUwNTY3MTUifQ==</vt:lpwstr>
  </property>
</Properties>
</file>