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P-319</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“15” 2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Ubaydullayev Doston Yo'ldosh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Ubaydullayev Doston Yo'ldosh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1885247 </w:t>
              <w:br/>
              <w:t>Выдан: 16.6.2013</w:t>
              <w:br/>
              <w:t xml:space="preserve">TOSHKENT VILOYATI ANGREN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597 930 274</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Ubaydullayev Doston Yo'ldosh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