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P-241</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“26” 8   2018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Ashirov Gayratjon Xamrayevich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Ashirov Gayratjon Xamrayevich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KA 0911278 </w:t>
              <w:br/>
              <w:t>Выдан: 26.8.2018</w:t>
              <w:br/>
              <w:t xml:space="preserve">QORAQALPOG'ISTON RESPUBLIKASI BERUNIY SHTIIB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557 003 932</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6956 4569 7839</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ASAKA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Ashirov Gayratjon Xamrayevich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