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P-105</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 8   2019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Kurbanova Hilola Abdulxay qizi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Kurbanova Hilola Abdulxay qizi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1290852 </w:t>
              <w:br/>
              <w:t>Выдан: 3.8.2019</w:t>
              <w:br/>
              <w:t xml:space="preserve">SIRDARYO VILOYATI GULISTON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564 358 789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4559 5652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Kurbanova Hilola Abdulxay qizi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