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P-033</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“26” 3   2018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Bekmurodov Sardor Sobirovich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Bekmurodov Sardor Sobirovich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1169132 </w:t>
              <w:br/>
              <w:t>Выдан: 4.4.2013</w:t>
              <w:br/>
              <w:t xml:space="preserve">QASHQADARYO VILOYATI QARSHI SHAHAR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498 699 104</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5189 6956 4556 0151</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ASAKA BANK</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Bekmurodov Sardor Sobirovich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