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P-341</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“12”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Axatova Sevara Shavkatovna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Axatova Sevara Shavkatovna</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9093443 </w:t>
              <w:br/>
              <w:t>Выдан: 25.3.2015</w:t>
              <w:br/>
              <w:t xml:space="preserve">BUXORO VILOYATI G'IJDUVON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575 666 090</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Axatova Sevara Shavkatovna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