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choice/radio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Conjoint trade-off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Response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Dropdown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Ranking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sum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of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Confirmation dialogue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Corresponding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new survey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of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response quotas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questions in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Saved surveys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Recently modified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Duplicate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 selection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8-14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Checkpoint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Question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Flow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Multiple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Multiple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Conjoint trade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Free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Drop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ranking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Constant 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Button (all the different types?)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Pop-up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Save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Analyze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15-21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Survey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Participant subset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Account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User 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Account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Survey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