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Mitchel - Project Lead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Maxwell - Technical Lead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Alex - Technical Lead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Ryan - QA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Landon - Secretary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Thomas - Documentation Specialist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What are the top X needs of this survey platform for your company?</w:t>
      </w:r>
    </w:p>
    <w:p w:rsidR="00000000" w:rsidDel="00000000" w:rsidP="00000000" w:rsidRDefault="00000000" w:rsidRPr="00000000">
      <w:pPr>
        <w:ind w:left="1530" w:firstLine="0"/>
        <w:contextualSpacing w:val="0"/>
      </w:pPr>
      <w:r w:rsidDel="00000000" w:rsidR="00000000" w:rsidRPr="00000000">
        <w:rPr>
          <w:rtl w:val="0"/>
        </w:rPr>
        <w:t xml:space="preserve">What are you specifically looking for that is not currently available through similar products?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How is it going to be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What are you attempting to get out of these surveys?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Internally? Public use?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Who is using this? What is the intended audience?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Who is taking surveys?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Who is analyzing data?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Should data be anonymous?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What security needs are you looking for in this survey client?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Will there be any sensitive information?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Confidentiality?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End-user?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WE TRYING TO PUT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Emphasize needs over wants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Unambiguous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Architechture (High-level)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Detailed (Low-level)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Integration and Deployment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Change Review/Control Board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Process Model to organize the above tasks/deliverables</w:t>
        <w:tab/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