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AAB37" w14:textId="77777777" w:rsidR="006D48EE" w:rsidRDefault="006D48EE" w:rsidP="006D48EE">
      <w:pPr>
        <w:pStyle w:val="Heading1"/>
        <w:rPr>
          <w:rFonts w:ascii="Times New Roman" w:hAnsi="Times New Roman" w:cs="Times New Roman"/>
          <w:b/>
          <w:bCs/>
          <w:sz w:val="22"/>
          <w:szCs w:val="22"/>
        </w:rPr>
      </w:pPr>
      <w:r w:rsidRPr="00264983">
        <w:rPr>
          <w:rFonts w:ascii="Times New Roman" w:hAnsi="Times New Roman" w:cs="Times New Roman"/>
          <w:b/>
          <w:bCs/>
          <w:sz w:val="22"/>
          <w:szCs w:val="22"/>
        </w:rPr>
        <w:t xml:space="preserve">Supplement </w:t>
      </w:r>
    </w:p>
    <w:p w14:paraId="78BEF52F" w14:textId="7CF24DDE" w:rsidR="00264983" w:rsidRPr="00264983" w:rsidRDefault="00264983" w:rsidP="00264983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Figure S1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Predominant forest species groups making up 97% of forested area. Hatching represents the fraction of gridcells where that species is the majority (&gt;50% gridcell forested area).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B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) Distribution of species structural metrics from the TreeMap </w:t>
      </w:r>
      <w:r w:rsidRPr="00860874">
        <w:rPr>
          <w:rFonts w:ascii="Times New Roman" w:eastAsia="Times New Roman" w:hAnsi="Times New Roman" w:cs="Times New Roman"/>
          <w:i/>
          <w:sz w:val="20"/>
          <w:szCs w:val="20"/>
        </w:rPr>
        <w:t>Tree Table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including the proportion of live basal area (BA) and trees/pixel (TPP). </w:t>
      </w:r>
    </w:p>
    <w:p w14:paraId="39671D45" w14:textId="77777777" w:rsidR="006D48EE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5C340F" wp14:editId="581D874A">
            <wp:extent cx="5504780" cy="2037029"/>
            <wp:effectExtent l="0" t="0" r="0" b="0"/>
            <wp:docPr id="13" name="image8.png" descr="A close-up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A close-up of a graph&#10;&#10;AI-generated content may be incorrect.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82" cy="205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49A10" w14:textId="77777777" w:rsidR="00264983" w:rsidRPr="00860874" w:rsidRDefault="00264983" w:rsidP="00264983">
      <w:pPr>
        <w:spacing w:before="120" w:after="120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Figure 2.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Aggregation of VIIRS active fire detections (AFD) onto a regular grid for the Williams Fork Fire (2020).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Pixel centers of AFD from both satellites (S-NPP and JPSS-1);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B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Pixel ground area based on swath position (relative nadir position);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Maximum FRP based on fractional overlap aggregation.</w:t>
      </w:r>
    </w:p>
    <w:p w14:paraId="30A160F1" w14:textId="77777777" w:rsidR="00152647" w:rsidRDefault="00152647" w:rsidP="00152647">
      <w:pPr>
        <w:spacing w:before="120" w:after="120"/>
        <w:jc w:val="center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DF4320" wp14:editId="001EF07B">
            <wp:extent cx="5587569" cy="1596448"/>
            <wp:effectExtent l="0" t="0" r="0" b="0"/>
            <wp:docPr id="16" name="image13.png" descr="A blue and black map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A blue and black map&#10;&#10;AI-generated content may be incorrect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7569" cy="159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E9605" w14:textId="77777777" w:rsidR="00264983" w:rsidRPr="00860874" w:rsidRDefault="00264983" w:rsidP="00264983">
      <w:pPr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Figure S2.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(A)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Distribution of pixel ground area in square kilometers from VIIRS active fire detections. (B) The mean pixel ground area at each swath sample location. The further off-nadir a pixel is, the greater its ground area.</w:t>
      </w:r>
    </w:p>
    <w:p w14:paraId="383A950B" w14:textId="77777777" w:rsidR="006D48EE" w:rsidRPr="00860874" w:rsidRDefault="006D48EE" w:rsidP="006D48EE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57150" distB="57150" distL="57150" distR="57150" wp14:anchorId="35CD5221" wp14:editId="651C6BEE">
            <wp:extent cx="5278170" cy="2100404"/>
            <wp:effectExtent l="0" t="0" r="5080" b="0"/>
            <wp:docPr id="8" name="image17.png" descr="A graph and diagram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 descr="A graph and diagram of a graph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155" cy="2124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7AD51" w14:textId="51257384" w:rsidR="006D48EE" w:rsidRPr="00860874" w:rsidRDefault="00264983" w:rsidP="00264983">
      <w:pPr>
        <w:spacing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Figure S3.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Distribution of VIIRS pixel area overlaps with the regular 375 m</w:t>
      </w:r>
      <w:r w:rsidRPr="00860874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2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grid of the Southern Rockies showing the cutoff value (&gt;50% gridcell overlap) as a red dashed line and the 100% overlap threshold as a dashed grey line. Only gridcells with </w:t>
      </w:r>
      <w:r w:rsidRPr="00860874">
        <w:rPr>
          <w:rFonts w:ascii="Times New Roman" w:eastAsia="Times New Roman" w:hAnsi="Times New Roman" w:cs="Times New Roman"/>
          <w:i/>
          <w:sz w:val="20"/>
          <w:szCs w:val="20"/>
        </w:rPr>
        <w:t>at least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50% overlap with VIIRS detections were retained for the analysis to limit the contributions of gridcells with very small fractional overlap. 12,639 gridcells were removed from the analysis.</w:t>
      </w:r>
    </w:p>
    <w:p w14:paraId="787123DA" w14:textId="32D7CB8B" w:rsidR="006D48EE" w:rsidRPr="00BE7D2B" w:rsidRDefault="006D48EE" w:rsidP="00BE7D2B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15DB1F52" wp14:editId="14DA7448">
            <wp:extent cx="3809975" cy="2181885"/>
            <wp:effectExtent l="0" t="0" r="635" b="2540"/>
            <wp:docPr id="15" name="image16.png" descr="A graph with numbers and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 descr="A graph with numbers and a line&#10;&#10;AI-generated content may be incorrect."/>
                    <pic:cNvPicPr preferRelativeResize="0"/>
                  </pic:nvPicPr>
                  <pic:blipFill>
                    <a:blip r:embed="rId7"/>
                    <a:srcRect t="94" b="94"/>
                    <a:stretch>
                      <a:fillRect/>
                    </a:stretch>
                  </pic:blipFill>
                  <pic:spPr>
                    <a:xfrm>
                      <a:off x="0" y="0"/>
                      <a:ext cx="4012290" cy="2297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CEA9C" w14:textId="4AD6D911" w:rsidR="00264983" w:rsidRPr="00264983" w:rsidRDefault="00264983" w:rsidP="00264983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Figure SX.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Observed species co-occurrence matrix from the TreeMap Tree Table for all forest species considered to be common in the Southern Rockies. </w:t>
      </w:r>
    </w:p>
    <w:p w14:paraId="03E3F4C8" w14:textId="77777777" w:rsidR="006D48EE" w:rsidRPr="00860874" w:rsidRDefault="006D48EE" w:rsidP="00264983">
      <w:pPr>
        <w:spacing w:before="120" w:after="120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5AB8EECA" wp14:editId="6C4D4A75">
            <wp:extent cx="5160475" cy="4436198"/>
            <wp:effectExtent l="0" t="0" r="0" b="0"/>
            <wp:docPr id="10" name="image12.png" descr="A diagram of different colored squar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A diagram of different colored squares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342" cy="4590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C3B51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</w:rPr>
      </w:pPr>
    </w:p>
    <w:p w14:paraId="3A1C6EAA" w14:textId="7383F8E9" w:rsidR="006D48EE" w:rsidRPr="00860874" w:rsidRDefault="009D3F67" w:rsidP="006D48EE">
      <w:pPr>
        <w:spacing w:before="120" w:after="120"/>
        <w:rPr>
          <w:rFonts w:ascii="Times New Roman" w:eastAsia="Times New Roman" w:hAnsi="Times New Roman" w:cs="Times New Roman"/>
        </w:rPr>
      </w:pPr>
      <w:r w:rsidRPr="00C93DC3">
        <w:rPr>
          <w:rFonts w:ascii="Times New Roman" w:eastAsia="Times New Roman" w:hAnsi="Times New Roman" w:cs="Times New Roman"/>
          <w:b/>
          <w:bCs/>
        </w:rPr>
        <w:lastRenderedPageBreak/>
        <w:t>Figure SX.</w:t>
      </w:r>
      <w:r>
        <w:rPr>
          <w:rFonts w:ascii="Times New Roman" w:eastAsia="Times New Roman" w:hAnsi="Times New Roman" w:cs="Times New Roman"/>
        </w:rPr>
        <w:t xml:space="preserve"> Correlation matrix for all variables explored for the modeling procedure. Variables which were included in the models were assessed for collinearity.</w:t>
      </w:r>
    </w:p>
    <w:p w14:paraId="6FCE3A3C" w14:textId="3526EFD1" w:rsidR="006D48EE" w:rsidRPr="00860874" w:rsidRDefault="009D3F67" w:rsidP="009D3F67">
      <w:pPr>
        <w:spacing w:before="120"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14:ligatures w14:val="standardContextual"/>
        </w:rPr>
        <w:drawing>
          <wp:inline distT="0" distB="0" distL="0" distR="0" wp14:anchorId="6C3D6EF4" wp14:editId="3E5343DA">
            <wp:extent cx="5938627" cy="5938627"/>
            <wp:effectExtent l="0" t="0" r="5080" b="5080"/>
            <wp:docPr id="192896223" name="Picture 1" descr="A graph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6223" name="Picture 1" descr="A graph of a triangl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515" cy="59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A38F" w14:textId="77777777" w:rsidR="00C93DC3" w:rsidRDefault="00C93DC3" w:rsidP="00BE7D2B">
      <w:pPr>
        <w:spacing w:before="120" w:after="1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A7A46C0" w14:textId="77777777" w:rsidR="00C93DC3" w:rsidRDefault="00C93DC3" w:rsidP="00BE7D2B">
      <w:pPr>
        <w:spacing w:before="120" w:after="1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68D0657" w14:textId="77777777" w:rsidR="00C93DC3" w:rsidRDefault="00C93DC3" w:rsidP="00BE7D2B">
      <w:pPr>
        <w:spacing w:before="120" w:after="1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49BF3E6" w14:textId="77777777" w:rsidR="00C93DC3" w:rsidRDefault="00C93DC3" w:rsidP="00BE7D2B">
      <w:pPr>
        <w:spacing w:before="120" w:after="1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5388890" w14:textId="77777777" w:rsidR="00C93DC3" w:rsidRDefault="00C93DC3" w:rsidP="00BE7D2B">
      <w:pPr>
        <w:spacing w:before="120" w:after="1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BF09EAC" w14:textId="77777777" w:rsidR="00C93DC3" w:rsidRDefault="00C93DC3" w:rsidP="00BE7D2B">
      <w:pPr>
        <w:spacing w:before="120" w:after="1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D870C63" w14:textId="77777777" w:rsidR="00C93DC3" w:rsidRDefault="00C93DC3" w:rsidP="00BE7D2B">
      <w:pPr>
        <w:spacing w:before="120" w:after="1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2CC608C" w14:textId="39041ADB" w:rsidR="00BE7D2B" w:rsidRPr="00264983" w:rsidRDefault="00BE7D2B" w:rsidP="00BE7D2B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 xml:space="preserve">Figure SX. </w:t>
      </w:r>
      <w:r>
        <w:rPr>
          <w:rFonts w:ascii="Times New Roman" w:eastAsia="Times New Roman" w:hAnsi="Times New Roman" w:cs="Times New Roman"/>
          <w:sz w:val="20"/>
          <w:szCs w:val="20"/>
        </w:rPr>
        <w:t>Posterio</w:t>
      </w:r>
      <w:r w:rsidR="002F3CCC"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distribution of effects for all non-forest type fixed effects</w:t>
      </w:r>
      <w:r w:rsidR="002F3CC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2E67F7F" w14:textId="3BFF71E1" w:rsidR="006D48EE" w:rsidRPr="00860874" w:rsidRDefault="00A612E6" w:rsidP="006D48EE">
      <w:pPr>
        <w:spacing w:before="120"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14:ligatures w14:val="standardContextual"/>
        </w:rPr>
        <w:drawing>
          <wp:inline distT="0" distB="0" distL="0" distR="0" wp14:anchorId="51C09297" wp14:editId="25534E7E">
            <wp:extent cx="5943600" cy="4457700"/>
            <wp:effectExtent l="0" t="0" r="0" b="0"/>
            <wp:docPr id="256953535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3535" name="Picture 1" descr="A graph of different colored lin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4709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1F5D4CB" w14:textId="77777777" w:rsidR="00AB4EBE" w:rsidRDefault="00AB4EBE"/>
    <w:sectPr w:rsidR="00AB4EBE" w:rsidSect="00B55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mirrorMargins/>
  <w:proofState w:spelling="clean" w:grammar="clean"/>
  <w:defaultTabStop w:val="720"/>
  <w:evenAndOddHeaders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08"/>
    <w:rsid w:val="00152647"/>
    <w:rsid w:val="00264983"/>
    <w:rsid w:val="00276190"/>
    <w:rsid w:val="002F3CCC"/>
    <w:rsid w:val="003674BA"/>
    <w:rsid w:val="003C0916"/>
    <w:rsid w:val="00400AC4"/>
    <w:rsid w:val="00461307"/>
    <w:rsid w:val="005A31C1"/>
    <w:rsid w:val="006D48EE"/>
    <w:rsid w:val="008E4508"/>
    <w:rsid w:val="009B1131"/>
    <w:rsid w:val="009D3F67"/>
    <w:rsid w:val="00A612E6"/>
    <w:rsid w:val="00A641A2"/>
    <w:rsid w:val="00AB4EBE"/>
    <w:rsid w:val="00B418C8"/>
    <w:rsid w:val="00B55DC0"/>
    <w:rsid w:val="00BA03E7"/>
    <w:rsid w:val="00BE7D2B"/>
    <w:rsid w:val="00C93DC3"/>
    <w:rsid w:val="00CD22AA"/>
    <w:rsid w:val="00D803B3"/>
    <w:rsid w:val="00F3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4C567"/>
  <w15:chartTrackingRefBased/>
  <w15:docId w15:val="{5F64B8AD-7591-9F4B-9E90-5FE17E7E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508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8C8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aliases w:val="Main Subsection Header"/>
    <w:basedOn w:val="Normal"/>
    <w:next w:val="Normal"/>
    <w:link w:val="Heading2Char"/>
    <w:uiPriority w:val="9"/>
    <w:unhideWhenUsed/>
    <w:qFormat/>
    <w:rsid w:val="00B418C8"/>
    <w:pPr>
      <w:keepNext/>
      <w:keepLines/>
      <w:spacing w:before="120" w:after="120" w:line="240" w:lineRule="auto"/>
      <w:outlineLvl w:val="1"/>
    </w:pPr>
    <w:rPr>
      <w:rFonts w:ascii="Century Schoolbook" w:eastAsiaTheme="majorEastAsia" w:hAnsi="Century Schoolbook" w:cstheme="majorBidi"/>
      <w:b/>
      <w:color w:val="000000" w:themeColor="text1"/>
      <w:kern w:val="2"/>
      <w:sz w:val="24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08"/>
    <w:pPr>
      <w:keepNext/>
      <w:keepLines/>
      <w:spacing w:before="160" w:after="80" w:line="240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08"/>
    <w:pPr>
      <w:keepNext/>
      <w:keepLines/>
      <w:spacing w:before="80" w:after="40" w:line="240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08"/>
    <w:pPr>
      <w:keepNext/>
      <w:keepLines/>
      <w:spacing w:before="80" w:after="40" w:line="240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08"/>
    <w:pPr>
      <w:keepNext/>
      <w:keepLines/>
      <w:spacing w:before="40" w:line="24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08"/>
    <w:pPr>
      <w:keepNext/>
      <w:keepLines/>
      <w:spacing w:before="40" w:line="24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08"/>
    <w:pPr>
      <w:keepNext/>
      <w:keepLines/>
      <w:spacing w:line="24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08"/>
    <w:pPr>
      <w:keepNext/>
      <w:keepLines/>
      <w:spacing w:line="24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SectionHeader">
    <w:name w:val="Main Section Header"/>
    <w:basedOn w:val="Heading1"/>
    <w:qFormat/>
    <w:rsid w:val="00B418C8"/>
    <w:pPr>
      <w:jc w:val="center"/>
    </w:pPr>
    <w:rPr>
      <w:rFonts w:ascii="Century Schoolbook" w:hAnsi="Century Schoolbook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418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Main Subsection Header Char"/>
    <w:basedOn w:val="DefaultParagraphFont"/>
    <w:link w:val="Heading2"/>
    <w:uiPriority w:val="9"/>
    <w:rsid w:val="00B418C8"/>
    <w:rPr>
      <w:rFonts w:ascii="Century Schoolbook" w:eastAsiaTheme="majorEastAsia" w:hAnsi="Century Schoolbook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E4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08"/>
    <w:pPr>
      <w:numPr>
        <w:ilvl w:val="1"/>
      </w:numPr>
      <w:spacing w:after="160" w:line="24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E4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508"/>
    <w:pPr>
      <w:spacing w:before="160" w:after="160" w:line="240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E4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508"/>
    <w:pPr>
      <w:spacing w:line="240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E45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5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262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Cook</dc:creator>
  <cp:keywords/>
  <dc:description/>
  <cp:lastModifiedBy>Maxwell Cook</cp:lastModifiedBy>
  <cp:revision>9</cp:revision>
  <dcterms:created xsi:type="dcterms:W3CDTF">2025-03-15T15:57:00Z</dcterms:created>
  <dcterms:modified xsi:type="dcterms:W3CDTF">2025-03-19T14:36:00Z</dcterms:modified>
</cp:coreProperties>
</file>