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 NEW OPPORTUNITIES FOR SMALL-SCALE HYDROPOWER IN </w:t>
        </w:r>
      </w:hyperlink>
      <w:hyperlink r:id="rId9" w:history="1">
        <w:r>
          <w:rPr>
            <w:rFonts w:ascii="arial" w:eastAsia="arial" w:hAnsi="arial" w:cs="arial"/>
            <w:b/>
            <w:i/>
            <w:strike w:val="0"/>
            <w:color w:val="0077CC"/>
            <w:sz w:val="28"/>
            <w:u w:val="single"/>
            <w:shd w:val="clear" w:color="auto" w:fill="FFFFFF"/>
            <w:vertAlign w:val="baseline"/>
          </w:rPr>
          <w:t>COLORADO</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Spring, 2016</w:t>
      </w:r>
    </w:p>
    <w:p>
      <w:pPr>
        <w:keepNext w:val="0"/>
        <w:spacing w:after="0" w:line="240" w:lineRule="atLeast"/>
        <w:ind w:right="0"/>
        <w:jc w:val="both"/>
      </w:pPr>
      <w:bookmarkStart w:id="0" w:name="Bookmark_40"/>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19 U. Denv. Water L. Rev. 157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13833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CHRISTOPHER AINSCOUGH*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Chris Ainscough holds a Bachelor of Science in engineering, mechanical specialty,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School of Mines, where he graduated with high scholastic honors. He holds a Masters of Science in mechanical engineering from the University of Pennsylvania. Chris is a licensed professional engineer working in the renewable energy industry. He is pursuing his Juris Doctor at the University of Denver Sturm College of Law, expected May 2017, with a focus on energy and intellectual property law.</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[*158] </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Introduction</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substantial untapped hydropower resources.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xml:space="preserve"> Most of the state's hydropower potential exists at sites smaller than five megawatts ("MW").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The combination of friendly federal legislation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and the recent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decision in Frees v. Tidd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will enable more small-scale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hydro-power development within the state. This Article analyzes the possible impact of that legislation and the Frees decision on the development of that hydro-power potential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It also attempts, in a novel analysis,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to estimate, post Frees, the number and size of decreed water rights whose junior appropriators could potentially use their water as a source for hydropower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Electricity from renewable resources represents a growing portion of the energy consumption in the United States.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The United States Department of Energy ("DOE") places renewable energy resources into eight different categories: hydroelectric, geothermal, solar, wind, wood biomass, ethanol, biodiesel, and waste biomass.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The DOE predicts that total electricity production from renewable energy resources will increase over thirty-seven percent between 2013 and 2040.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This growth, however, does not have an even distribution among the categories; for example, the DOE predicts that hydroelectric consumption will increase only twelve percent as compared to 2013 levels.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 2006 DOE report analyzed the feasibility for hydropower development of over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500,000 potential small hydropower sites in the country, and concluded that the approximately 130,000 sites that meet feasibility criteria could increase hydroelectric generation by over 50 percent after development.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However, an antiquated hydropower permitting process, developed for large-scale projects like the Hoover Dam, also applies to small-scale hydropower sites and impedes the development of these resources.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recent ruling in Frees may enable more hydropower plants to come online.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The Court held that water courts may decree junior, conditional non-consumptive water rights that divert appropriation by senior rights holders, and apply that water to the beneficial use of producing electric power.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This decision correctly applied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and is consistent with the public policy of maximizing beneficial use of the state's waters.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That is, the Court's authorization for junior rights holders to apply water to non-consumptive use provides for the maximization of water's beneficial use without harming senior appropriators'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I, this Article will examine the backdrop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 which the dispute in Frees took place. Part II will thoroughly summarize the Frees decision discussing the relevant facts, the procedural history, the majority's reasoning, and the dissent's warning of unintended consequences. Part III will review the relaxed statutory landscape for new small-scale hydropower development, and how the Frees decision may affect this development. Part IV assesses potential small-scale hydropower sites in the state and how the Frees decision may affect water rights with diversion points near those sites. Part V offers a brief conclusion concerning future small-scale hydropower development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II</w:t>
        </w:r>
      </w:hyperlink>
      <w:r>
        <w:rPr>
          <w:rFonts w:ascii="arial" w:eastAsia="arial" w:hAnsi="arial" w:cs="arial"/>
          <w:b w:val="0"/>
          <w:i w:val="0"/>
          <w:strike w:val="0"/>
          <w:noProof w:val="0"/>
          <w:color w:val="000000"/>
          <w:position w:val="0"/>
          <w:sz w:val="20"/>
          <w:u w:val="none"/>
          <w:vertAlign w:val="baseline"/>
        </w:rPr>
        <w:t xml:space="preserve">. Three Key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Led to the Frees Decision: Prior Appropriation, Constitutional Protection of Ditch Easements, and the Public Policy to Maximize Beneficial Use of Appropriated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provide a grounding for the legal landscape in which the Frees controversy and eventual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holding developed, the reader first must understand: (i) the prior appropriation doctrine, (ii) the purpose and constitutional protection of ditch easements, and (iii) the maximization of the beneficial use of appropriated water. Experienced practitioners may wish to skip to the analysis of Frees in Part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The Prior Appropriation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long ago abandoned the riparian doctrine in favor of the doctrine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of prior appropriation.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The prior appropriation doctrine, established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codified a first-in-time, first-in-right system - so long as the user puts the water to beneficial use.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In fact, the right forms only once the user puts the water to a beneficial use.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constitution applies a rank preference for domestic use over agricultural use, and agricultural use over manufacturing.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Ownership of a water right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equate to ownership of the water itself: water rights are usufructuary.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However, in order for the owner of a water right to use water for agriculture, the owner must convey the water to her lands, which would otherwise remain barren.  </w:t>
      </w:r>
      <w:r>
        <w:rPr>
          <w:rFonts w:ascii="arial" w:eastAsia="arial" w:hAnsi="arial" w:cs="arial"/>
          <w:vertAlign w:val="superscript"/>
        </w:rPr>
        <w:footnoteReference w:customMarkFollows="1" w:id="22"/>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Ditch Easements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Even prior to statehood,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Territorial Legislature recognized the right to appropriate water and convey it to develop lands not adjacent to the source.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The state's constitution enshrined this doctrine: the constitution allows, upon just compensation, for a right-of-way across all lands for ditches and canals to convey water for domestic, agricultural, and manufacturing uses.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The owner of land burdened with such an easement may not alter that easement without first obtaining the owner's permission or obtaining a declaratory judgment that the alterations will not damage the owner's rights.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State statute clarifies and further defines the doctrine by allowing any owner of a water right or conditional water right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to obtain a right-of-way across another's land between the point of diversion and the point of beneficial use.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Moreover, state statute provides that "no tract or parcel of… land… shall be subjected to the burden of two or more ditches… when the same object can… be attained by uniting and conveying all the water necessary… through one ditch."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Consistent with this policy goal, the statute authorizes multiple water rights owners to make their diversions at the same point of a water source.  </w:t>
      </w:r>
      <w:r>
        <w:rPr>
          <w:rFonts w:ascii="arial" w:eastAsia="arial" w:hAnsi="arial" w:cs="arial"/>
          <w:vertAlign w:val="superscript"/>
        </w:rPr>
        <w:footnoteReference w:customMarkFollows="1" w:id="29"/>
        <w:t xml:space="preserve">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Maximization of Beneficial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Maximizing the beneficial use of water is a basic tenet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In Fellhauer v. People,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held that this policy goal was "implicit" in the state constitution.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Legislature made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this goal explicit via statute, "it is the policy of this state to integrate the appropriation, use, and administration of… water in such a way as to maximize the beneficial use of all of the waters of this state."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In 2001, the Court added three more factors to this policy consideration, namely, that the purpose of the water law is to "guarantee security, assure reliability, and cultivate flexibility… of this scarce and valuable resource."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In a subsequent case, the Court held that pro-motion of entrepreneurial development, so long as it respects senior water rights, is an acceptable use for water.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The Court has limited this holding by requiring that an applicant must show that the source contains sufficient water to meet the needs of his proposed appropriation.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The applicant's proposed appropriation may not affect the "quantity, quality, and timing" of the water delivered according to existing water and easement rights on the ditch.  </w:t>
      </w:r>
      <w:r>
        <w:rPr>
          <w:rFonts w:ascii="arial" w:eastAsia="arial" w:hAnsi="arial" w:cs="arial"/>
          <w:vertAlign w:val="superscript"/>
        </w:rPr>
        <w:footnoteReference w:customMarkFollows="1" w:id="35"/>
        <w:t xml:space="preserve">34</w:t>
      </w:r>
    </w:p>
    <w:p>
      <w:pPr>
        <w:keepNext w:val="0"/>
        <w:spacing w:before="20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III</w:t>
        </w:r>
      </w:hyperlink>
      <w:r>
        <w:rPr>
          <w:rFonts w:ascii="arial" w:eastAsia="arial" w:hAnsi="arial" w:cs="arial"/>
          <w:b w:val="0"/>
          <w:i w:val="0"/>
          <w:strike w:val="0"/>
          <w:noProof w:val="0"/>
          <w:color w:val="000000"/>
          <w:position w:val="0"/>
          <w:sz w:val="20"/>
          <w:u w:val="none"/>
          <w:vertAlign w:val="baseline"/>
        </w:rPr>
        <w:t xml:space="preserve">. Frees v. Tidd: An Issue of First Impression Before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Opened The Door to More Development of Small-Scale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feature for easing the federal regulatory burden for a small-scale hydropower project is that the developer has all the necessary water rights.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Prior to the Frees decision,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obtaining junior water rights in a fully-appropriated stream could be costly or impossible.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Frees decision allows a junior appropriator, under certain conditions, to claim a right to available water in a stream, even if the senior right holder has completely appropriated the water.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This decision opens the door to the development of small-scale hydropower by enabling power project developers a clear path to claiming a junior right that maximizes the beneficial use of water for hydropower purposes. Because the Frees majority finds water available even in over-appropriated streams,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potential exists for an unlimited number of junior appropriators on a stream to install hydropower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in her dissent, Justice Marquez sees this decision as a topic best left to the legislature and warns of unintended repercussions,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the majority's opinion is predictable in light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policy to maximize beneficial use of the state's waters discussed in Part III 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Article attempts in Part IV infra to assess the impact of Frees by cross-referencing potential hydropower sites, or places where the DOE found it could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be economical to install hydropower, with existing decreed water rights whose physical water such installations could appropriate under junior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Facts of The Frees Controversy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parties in Frees owned adjacent properties in Sagauche County,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The Frees possessed a water right with an 1890 priority date to use 6.4 cubic feet per second ("cfs") of water diverted through the Garner Creek Ditch No. 1 for irrigation.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This ditch, for which the Frees owned an easement, di-verted the whole flow of Garner Creek, and traveled across the Tidds' land to deliver water to the Frees.  </w:t>
      </w:r>
      <w:r>
        <w:rPr>
          <w:rFonts w:ascii="arial" w:eastAsia="arial" w:hAnsi="arial" w:cs="arial"/>
          <w:vertAlign w:val="superscript"/>
        </w:rPr>
        <w:footnoteReference w:customMarkFollows="1" w:id="44"/>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Procedural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Frees v. Tidd controversy stands as an example of the untapped, small-scale hydropower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way in which hydropower in inextricably linked to water law and water rights within the state. In 2010, the water court issued to the Tidds a non-consumptive conditional water right to divert 0.41 cfs from the Garner Creek Ditch No. 1 for small-scale hydropower purposes.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The Tidds planned to pipe water 1,222 feet downhill to a turbine that would generate 4.38 kilowatts ("kW") of electricity.  </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The Tidds' proposed pipeline would return all of the water to the ditch prior to the point where it crosses into the Frees' property.  </w:t>
      </w:r>
      <w:r>
        <w:rPr>
          <w:rFonts w:ascii="arial" w:eastAsia="arial" w:hAnsi="arial" w:cs="arial"/>
          <w:vertAlign w:val="superscript"/>
        </w:rPr>
        <w:footnoteReference w:customMarkFollows="1" w:id="47"/>
        <w:t xml:space="preserve">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Tidds' application initially indicated the diversion point as being on the ditch.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Early in 2011, the Frees submitted a Statement of Opposition to the Tidds' proposed water right.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The Frees argued that the Tidds were seeking to circumvent the Frees' senior water right.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In June of 2011, the Tidds amended their application to show the source as the headgate of Garner Creek, and thus they would be using the same point of diversion as the Frees.  </w:t>
      </w:r>
      <w:r>
        <w:rPr>
          <w:rFonts w:ascii="arial" w:eastAsia="arial" w:hAnsi="arial" w:cs="arial"/>
          <w:vertAlign w:val="superscript"/>
        </w:rPr>
        <w:footnoteReference w:customMarkFollows="1" w:id="51"/>
        <w:t xml:space="preserve">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awaiting a decree on their conditional water right application, the Tidds moved for a declaratory judgment on whether applicants have a right to use water in a ditch that runs across their property for purpose of hydropower.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In ruling on the Tidds' motion, the water court cited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policy of maximizing the beneficial use of limited water supplies to the extent that the user can do so without injuring senior water rights.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water court found that the ditch contained sufficient water for the Tidds' proposed non-consumptive use.  </w:t>
      </w:r>
      <w:r>
        <w:rPr>
          <w:rFonts w:ascii="arial" w:eastAsia="arial" w:hAnsi="arial" w:cs="arial"/>
          <w:vertAlign w:val="superscript"/>
        </w:rPr>
        <w:footnoteReference w:customMarkFollows="1" w:id="54"/>
        <w:t xml:space="preserve">53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Following the water court's finding, the Tidds and Frees collaborated on a decree to assure that the Tidds' non-consumptive use would not harm the Frees' senior priority appropriation.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In June 2014, the water court entered a decree granting the Tidds an appropriation in accordance with their application.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Frees appealed, leading to the instant case.  </w:t>
      </w:r>
      <w:r>
        <w:rPr>
          <w:rFonts w:ascii="arial" w:eastAsia="arial" w:hAnsi="arial" w:cs="arial"/>
          <w:vertAlign w:val="superscript"/>
        </w:rPr>
        <w:footnoteReference w:customMarkFollows="1" w:id="57"/>
        <w:t xml:space="preserve">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Majority Opinion: Maximizing Beneficial Use of Scarce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Frees contended that the Tidds were trying to change the Frees' senior water right.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The Frees argued that the Tenth Circuit opinion in Public Service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v. Federal Energy Regulatory Commission supported their position.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That case focused on the Federal Energy Regulation Commission's ("FERC") assessment of a headwater benefits fee on Public Service for its re-lease of additional water from a reservoir upstream of its run-of-the-</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Shoshone hydropower plant.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The Tenth Circuit, in dicta, stated that once water entered the reservoir it is no longer public property because it has a "label" on it.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Frees asserted that once they diverted water it also had a label upon it and so the Tidds may not use it.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In rejecting this argument, the Court cited the Tenth Circuit's self-contradiction later in the case, namely, that "a water right is a usufructuary right, and is in no sense a right of ownership in the corpus of the water itself."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then interpreted the Tenth Circuit's dicta to mean that the FERC had a sufficient basis to assert the headwater benefits fee pursuant to the Federal Power Act, not that a user could no longer use the water for any purpose as the Frees asserted.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Frees decision, Justice Hobbs held that the water court properly granted the Tidds' conditional water right and that the water right was sound.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Justice Gregory Hobbs served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 as an associate justice and the body's pre-eminent water law expert from 1996 until 2015. Writing for the majority, Justice Hobbs found that the Tidds appropriately sought and obtained a decree for a conditional water right before seeking to use water in the ditch that runs across their land.  </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In strong language, Justice Hobbs reinforced the policy of maximizing beneficial use of scarce water resources: "Although the Tidds intend to use… the same physical water as the Frees, this is not merely permissible,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favors such multiple uses if injury to senior water rights will not occur."  </w:t>
      </w:r>
      <w:r>
        <w:rPr>
          <w:rFonts w:ascii="arial" w:eastAsia="arial" w:hAnsi="arial" w:cs="arial"/>
          <w:vertAlign w:val="superscript"/>
        </w:rPr>
        <w:footnoteReference w:customMarkFollows="1" w:id="67"/>
        <w:t xml:space="preserve">66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The Court discussed the two statutory circumstances under which a water resource is "available" for an adjudicated water right: (i) "there is un-appropriated water available in a stream that is not over-appropriated;" and (ii) "when the affected stream is over-appropriated, the decree for junior water right contains sufficient conditions to prevent injury to other adjudicated water,"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These two circumstances are consistent with the prior appropriation doctrine and the policy of maximizing beneficial use.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Further,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adds the so-called "can and will" requirement that applicants will complete such projects "with diligence and within a reasonable time."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parties agreed that the Tidds' junior appropriation would not harm the Frees' senior appropriation.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The Court also noted that its ruling does not require the Frees to divert water from Garner Creek for the benefit of the Tidds' junior right, even if the Frees do not need water.  </w:t>
      </w:r>
      <w:r>
        <w:rPr>
          <w:rFonts w:ascii="arial" w:eastAsia="arial" w:hAnsi="arial" w:cs="arial"/>
          <w:vertAlign w:val="superscript"/>
        </w:rPr>
        <w:footnoteReference w:customMarkFollows="1" w:id="72"/>
        <w:t xml:space="preserve">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Court rejected the Frees' argument that the Tidds were unable to appropriate pursuant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 state legislature made it a matter of state policy to maximize beneficial use of the state's waters.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Court noted that the Tidds applied for a conditional right of available water from a natural stream in order to put the water to the beneficial use of hydro-power.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total, the Court completely upheld the ruling of the water court and affirmed the decree of the Tidds' conditional right for hydropower.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Dissent: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Marquez, joined by Justice Coats, dissented noting that because the Tidds used water that the Frees have already appropriated and diverted, the Tidds essentially appropriated the water out of priority.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Justice Marquez disagreed with the majority's statement that the Tidds cannot force the Frees to divert water when they do not need it.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She argued that the Tidds necessarily relied on the Frees' larger flow because they admitted that their appropriation of 0.41 cfs may not be enough by itself to reach their intake pipe.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Thus the Tidds could only appropriate by "piggybacking" on the Frees' diversion.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Further, Justice Marquez argued that the majority misapplied the "can and will" requirement because case law interpreting the statute only refers to the out-of-priority diversion explicitly adopted by the legislature like augmentation plans,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not new appropriations.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Justice Marquez succinctly summarized her opposition to the majority ruling thusly: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syllogism evident in [the majority opinion's] statement is that, if unappropriated water is available, then the applicant's proposed new diversion will not harm senior appropriators. Yet the majority turns this logic on its head and effectively holds that, if a new diversion will not harm senior appropriators, then water is available for the new appropriation.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Justice Marquez concluded by warning of the ruling's unintended policy repercussions because of the potential duty the Frees may now owe the Tidds.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She pondered about "what happens, for example, if the Frees wish to change the point of diversion for their Garner Creek Ditch No. 1 water right at some point in the future?"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Do the Frees now owe a duty to the Tidds not to injure their junior water right?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Marquez' warning might not have important societal implications for users like the Tidds seeking to divert water for small-scale hydropower facilities. But, if the Court applied the same rule to a large hydropower facility relying on non-consumptive use of the same water as a senior appropriator who decided to change a diversion point, the societal impact could be extensive.  </w:t>
      </w:r>
      <w:r>
        <w:rPr>
          <w:rFonts w:ascii="arial" w:eastAsia="arial" w:hAnsi="arial" w:cs="arial"/>
          <w:vertAlign w:val="superscript"/>
        </w:rPr>
        <w:footnoteReference w:customMarkFollows="1" w:id="86"/>
        <w:t xml:space="preserve">85</w:t>
      </w:r>
    </w:p>
    <w:p>
      <w:pPr>
        <w:keepNext w:val="0"/>
        <w:spacing w:before="240" w:after="0" w:line="260" w:lineRule="atLeast"/>
        <w:ind w:left="0" w:right="0" w:firstLine="0"/>
        <w:jc w:val="both"/>
      </w:pPr>
      <w:hyperlink r:id="rId13" w:history="1">
        <w:r>
          <w:rPr>
            <w:rFonts w:ascii="arial" w:eastAsia="arial" w:hAnsi="arial" w:cs="arial"/>
            <w:b w:val="0"/>
            <w:i/>
            <w:strike w:val="0"/>
            <w:color w:val="0077CC"/>
            <w:sz w:val="20"/>
            <w:u w:val="single"/>
            <w:shd w:val="clear" w:color="auto" w:fill="FFFFFF"/>
            <w:vertAlign w:val="baseline"/>
          </w:rPr>
          <w:t>IV</w:t>
        </w:r>
      </w:hyperlink>
      <w:r>
        <w:rPr>
          <w:rFonts w:ascii="arial" w:eastAsia="arial" w:hAnsi="arial" w:cs="arial"/>
          <w:b w:val="0"/>
          <w:i w:val="0"/>
          <w:strike w:val="0"/>
          <w:noProof w:val="0"/>
          <w:color w:val="000000"/>
          <w:position w:val="0"/>
          <w:sz w:val="20"/>
          <w:u w:val="none"/>
          <w:vertAlign w:val="baseline"/>
        </w:rPr>
        <w:t>. Discussion: The Statutory Landscape for Small-Scale Hydopower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Easing Regulations for Small-Scale Hydropower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While the potential for small-scale hydropower in the United States is vast,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the permitting and regulatory scheme in place, developed by the federal government decades ago for large-scale public works projects, frustrates small-scale hydropower development.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Two recently passed pieces of legislation, however, may help alleviate this situation.  </w:t>
      </w:r>
      <w:r>
        <w:rPr>
          <w:rFonts w:ascii="arial" w:eastAsia="arial" w:hAnsi="arial" w:cs="arial"/>
          <w:vertAlign w:val="superscript"/>
        </w:rPr>
        <w:footnoteReference w:customMarkFollows="1" w:id="89"/>
        <w:t xml:space="preserve">88</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First</w:t>
        </w:r>
      </w:hyperlink>
      <w:r>
        <w:rPr>
          <w:rFonts w:ascii="arial" w:eastAsia="arial" w:hAnsi="arial" w:cs="arial"/>
          <w:b w:val="0"/>
          <w:i w:val="0"/>
          <w:strike w:val="0"/>
          <w:noProof w:val="0"/>
          <w:color w:val="000000"/>
          <w:position w:val="0"/>
          <w:sz w:val="20"/>
          <w:u w:val="none"/>
          <w:vertAlign w:val="baseline"/>
        </w:rPr>
        <w:t xml:space="preserve">, with the Hydropower Regulatory Efficiency Act of 2013 ("Efficiency Act"), Congress aimed to promote small-scale hydropower in three significant ways.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First, Congress amended </w:t>
      </w:r>
      <w:hyperlink r:id="rId14" w:history="1">
        <w:r>
          <w:rPr>
            <w:rFonts w:ascii="arial" w:eastAsia="arial" w:hAnsi="arial" w:cs="arial"/>
            <w:b w:val="0"/>
            <w:i/>
            <w:strike w:val="0"/>
            <w:noProof w:val="0"/>
            <w:color w:val="0077CC"/>
            <w:position w:val="0"/>
            <w:sz w:val="20"/>
            <w:u w:val="single"/>
            <w:shd w:val="clear" w:color="auto" w:fill="FFFFFF"/>
            <w:vertAlign w:val="baseline"/>
          </w:rPr>
          <w:t>16 U.S.C. § 2705</w:t>
        </w:r>
      </w:hyperlink>
      <w:r>
        <w:rPr>
          <w:rFonts w:ascii="arial" w:eastAsia="arial" w:hAnsi="arial" w:cs="arial"/>
          <w:b w:val="0"/>
          <w:i w:val="0"/>
          <w:strike w:val="0"/>
          <w:noProof w:val="0"/>
          <w:color w:val="000000"/>
          <w:position w:val="0"/>
          <w:sz w:val="20"/>
          <w:u w:val="none"/>
          <w:vertAlign w:val="baseline"/>
        </w:rPr>
        <w:t xml:space="preserve"> to increase the small hydro-power exemption from five MW to ten MW under the Public Utility Regulatory Policies Act.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This amendment allows larger small-scale hydropower projects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to skip the FERC regulatory process thereby reducing the cost and lead time for qualifying projects.  </w:t>
      </w:r>
      <w:r>
        <w:rPr>
          <w:rFonts w:ascii="arial" w:eastAsia="arial" w:hAnsi="arial" w:cs="arial"/>
          <w:vertAlign w:val="superscript"/>
        </w:rPr>
        <w:footnoteReference w:customMarkFollows="1" w:id="92"/>
        <w:t xml:space="preserve">91</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Congress amended </w:t>
      </w:r>
      <w:hyperlink r:id="rId15" w:history="1">
        <w:r>
          <w:rPr>
            <w:rFonts w:ascii="arial" w:eastAsia="arial" w:hAnsi="arial" w:cs="arial"/>
            <w:b w:val="0"/>
            <w:i/>
            <w:strike w:val="0"/>
            <w:noProof w:val="0"/>
            <w:color w:val="0077CC"/>
            <w:position w:val="0"/>
            <w:sz w:val="20"/>
            <w:u w:val="single"/>
            <w:shd w:val="clear" w:color="auto" w:fill="FFFFFF"/>
            <w:vertAlign w:val="baseline"/>
          </w:rPr>
          <w:t>16 U.S.C. § 823a</w:t>
        </w:r>
      </w:hyperlink>
      <w:r>
        <w:rPr>
          <w:rFonts w:ascii="arial" w:eastAsia="arial" w:hAnsi="arial" w:cs="arial"/>
          <w:b w:val="0"/>
          <w:i w:val="0"/>
          <w:strike w:val="0"/>
          <w:noProof w:val="0"/>
          <w:color w:val="000000"/>
          <w:position w:val="0"/>
          <w:sz w:val="20"/>
          <w:u w:val="none"/>
          <w:vertAlign w:val="baseline"/>
        </w:rPr>
        <w:t xml:space="preserve"> to remove the licensing requirement for certain qualifying hydropower facilities; remove conduit projects (without an impoundment such as a dam) under five MW from FERC jurisdiction; and increase the conduit project exemption up to forty MW.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Third, Congress amended </w:t>
      </w:r>
      <w:hyperlink r:id="rId16" w:history="1">
        <w:r>
          <w:rPr>
            <w:rFonts w:ascii="arial" w:eastAsia="arial" w:hAnsi="arial" w:cs="arial"/>
            <w:b w:val="0"/>
            <w:i/>
            <w:strike w:val="0"/>
            <w:noProof w:val="0"/>
            <w:color w:val="0077CC"/>
            <w:position w:val="0"/>
            <w:sz w:val="20"/>
            <w:u w:val="single"/>
            <w:shd w:val="clear" w:color="auto" w:fill="FFFFFF"/>
            <w:vertAlign w:val="baseline"/>
          </w:rPr>
          <w:t>16 U.S.C. § 798</w:t>
        </w:r>
      </w:hyperlink>
      <w:r>
        <w:rPr>
          <w:rFonts w:ascii="arial" w:eastAsia="arial" w:hAnsi="arial" w:cs="arial"/>
          <w:b w:val="0"/>
          <w:i w:val="0"/>
          <w:strike w:val="0"/>
          <w:noProof w:val="0"/>
          <w:color w:val="000000"/>
          <w:position w:val="0"/>
          <w:sz w:val="20"/>
          <w:u w:val="none"/>
          <w:vertAlign w:val="baseline"/>
        </w:rPr>
        <w:t xml:space="preserve"> to allow the FERC to extend preliminary permits, and implement a streamlined two-year application process for certain projects.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This legislation is important for run-of-the-</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projects such as the Tidd's that do not have an impoundment.  </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Again, these changes will ease the permitting burden for small scale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Efficiency Act requires that a person or entity, such as the Tidds, file a notice of intent with the FERC in order to license a conduit project.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 FERC then has fifteen days to make an initial determination whether the proposed facility meets the qualifying criteria, and, if the facility qualifies, the FERC must publish the notice of intent.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Within forty-five days of publication of the notice of intent, the person or entity may contest whether the proposed project meets the qualifying criteria.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The Efficiency Act define qualifying criteria as projects that (i) are on a conduit presently operated for purposes other than hydropower; (ii) do not contain an impoundment such as a dam; (iii) are on a conduit not federally owned; (iv) have a capacity of five MW or less; and (v) do not have prior licenses or exemptions.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Note that the default action under this Act is for the FERC to let the project through the process once it determines that the project meets the qualifying criteria.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process, again, should streamline permitting.</w:t>
      </w:r>
    </w:p>
    <w:p>
      <w:pPr>
        <w:keepNext w:val="0"/>
        <w:spacing w:before="20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Second</w:t>
        </w:r>
      </w:hyperlink>
      <w:r>
        <w:rPr>
          <w:rFonts w:ascii="arial" w:eastAsia="arial" w:hAnsi="arial" w:cs="arial"/>
          <w:b w:val="0"/>
          <w:i w:val="0"/>
          <w:strike w:val="0"/>
          <w:noProof w:val="0"/>
          <w:color w:val="000000"/>
          <w:position w:val="0"/>
          <w:sz w:val="20"/>
          <w:u w:val="none"/>
          <w:vertAlign w:val="baseline"/>
        </w:rPr>
        <w:t xml:space="preserve">, in the Bureau of Reclamation Small Conduit Hydropower Development and Rural Jobs Act of 2013 ("Jobs Act"), Congress implemented similar improvements for licensing federal conduit projects.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The Jobs Act requires that the Bureau of Reclamation ("Reclamation") determine whether the proposed facility is compatible with the conduit's current use, and if the proposed facility will avoid "any unmitigated financial or physical impacts."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The Jobs Act further requires Reclamation to first offer the lease of the power privilege to the conduit's users.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If they decline the offer, Reclamation must offer the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privilege to others.  </w:t>
      </w:r>
      <w:r>
        <w:rPr>
          <w:rFonts w:ascii="arial" w:eastAsia="arial" w:hAnsi="arial" w:cs="arial"/>
          <w:vertAlign w:val="superscript"/>
        </w:rPr>
        <w:footnoteReference w:customMarkFollows="1" w:id="104"/>
        <w:t xml:space="preserve">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backdrop to this loosening of restrictions, the FERC has encouraged states to establish memoranda of understanding with the FERC to develop small-scale hydropower projects.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In 2010,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signed such an agreement with the FERC ("MOU")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in order to help meet the state's Renewable Portfolio Standard.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The MOU articulates the FERC's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"mutual interest in streamlining and simplifying regulations for authorizing small hydropower projects."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FERC retained the responsibility under the Federal Power Act for issuing licenses and exemptions, and for regulatory authority over dam safety.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the responsibility to regulate water quality; ensure ex ante that projects qualify for an exemption from FERC regulations; and consult with appropriate federal and state agencies, tribes, and the public.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The MOU's pilot program consists of twenty installations whose purpose is to "identify and test opportunities to simplify and streamline procedures and regulations for authorizing small scale hydropower projects".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FERC may continue the pilot program if it is successful.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pre-screening criteria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project will be located within an existing water delivery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project will use existing infrastructure, including points of diversion and discharge;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There will be no increased stream diversions;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project will be entirely contained by existing waterway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primary purpose of the infrastructure will remain, e.g., most commonly municipal water supply and irrigation;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There will be no significant change in operation of the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water delivery system has all necessary water rights, permits, licenses or other approvals required by any local, state, or federal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project will not adversely affect water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The project will not adversely affect fish passage;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The project will not adversely affect a threatened or endangered species;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11. The project will not adversely affect a cultural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The project will not adversely affect a recreational resource;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The project will meet all of the other requirements for either a conduit or a 5 MW exemption.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in Frees has the potential to directly affect the seventh of these criteria - that is, the requirement that the project obtain the necessary water rights - because it may make it easier for hydropower project developers to obtain junior appropriations for non-consumptive use of the same physical water along the same conduit used by senior appropriators.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Provided, as the Court held, that the junior appropriations will not injure the senior water right.  </w:t>
      </w:r>
      <w:r>
        <w:rPr>
          <w:rFonts w:ascii="arial" w:eastAsia="arial" w:hAnsi="arial" w:cs="arial"/>
          <w:vertAlign w:val="superscript"/>
        </w:rPr>
        <w:footnoteReference w:customMarkFollows="1" w:id="115"/>
        <w:t xml:space="preserve">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Potential Resources in </w:t>
      </w:r>
      <w:r>
        <w:rPr>
          <w:rFonts w:ascii="arial" w:eastAsia="arial" w:hAnsi="arial" w:cs="arial"/>
          <w:b/>
          <w:i/>
          <w:strike w:val="0"/>
          <w:noProof w:val="0"/>
          <w:color w:val="000000"/>
          <w:position w:val="0"/>
          <w:sz w:val="20"/>
          <w:u w:val="single"/>
          <w:vertAlign w:val="baseline"/>
        </w:rPr>
        <w:t>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Between existing but under-utilized hydropower facilities, non-powered dams, unimproved conduits, federally and non-federally owned conduits, the untapped hydropower potential in the state is wide-ranging and complex.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Many of these resources, however, will fit into one of the regulatory schemes recently put in place to accelerate the development of small-scale hydropower.  </w:t>
      </w:r>
      <w:r>
        <w:rPr>
          <w:rFonts w:ascii="arial" w:eastAsia="arial" w:hAnsi="arial" w:cs="arial"/>
          <w:vertAlign w:val="superscript"/>
        </w:rPr>
        <w:footnoteReference w:customMarkFollows="1" w:id="117"/>
        <w:t xml:space="preserve">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2013,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published The Small Hydropower Hand-book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Handbook"), a set of guidelines for small-scale hydropower development.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While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Handbook acknowledged that there is no established definition of "small-scale hydropower," it nonetheless defines "small-scale hydropower" as projects producing fewer than two MW.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Handbook noted that since 2005,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had sixty-two operating hydropower facilities with a combined capacity of 1,162 MW, and that these facilities generate over one trillion watt-hours annually.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The state's largest plant is 300 MW in capacity.  </w:t>
      </w:r>
      <w:r>
        <w:rPr>
          <w:rFonts w:ascii="arial" w:eastAsia="arial" w:hAnsi="arial" w:cs="arial"/>
          <w:vertAlign w:val="superscript"/>
        </w:rPr>
        <w:footnoteReference w:customMarkFollows="1" w:id="121"/>
        <w:t xml:space="preserve">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DOE's 2006 nationwide assessment of hydropower re-sources,  </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the agency commissioned a detailed state-level assessment, United States Hydropower Resource Assessment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that identified and assessed the hydropower potential of 251 sites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That report assigned a project environmental suitability factor ("PESF") for each project's hydropower potential.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The PESF assessed the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project's wild and scenic resource protection; the presence of fish and threatened/endangered species; and the cultural, geologic, historic, recreational, scenic, and wildlife value of the site.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PESF is always a number between 0.1 and 0.9, "where 0.9 indicates the highest likelihood of development, and 0.1 indicates the lowest likelihood of development."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I used the PESF in the United States Hydropower Resource Assessment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to adjust the raw potential of a particular site with the likelihood that someone might actually develop the site.  </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classified sites in three ways: (i) sites with existing hydropower but untapped capacity; (ii) sites with no generation, but some sort of developed impoundment; or (iii) undeveloped sites without a diversion structure.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Most of the sites identified the DOE had power ratings below five MW,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and so would fit under the MOU's exemptions.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adjusted capacity of the sites identified and assessed was approximately 665 MW.  </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Ninety-one of these sites had existing impoundments, undeveloped hydropower resources, and a combined adjusted annual capacity of approximately 377 MW.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Because these sites have existing impoundments, they qualify under the MOU exceptions but not the Efficiency Act.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155 of the 251 sites the DOE identified are undeveloped and with a combined adjusted annual capacity of 209 MW, and so may qualify under the Efficiency Act.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total number of sites in these two categories, that is, without hydropower development, is 246.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Reclamation estimated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twenty-eight potential hydropower generation sites with a total potential annual energy capacity of over 100 MWh on Reclamation-owned conduits.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These sites may qualify for licensing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under the Jobs Act.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Handbook also notes that the DOE identified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 additional eleven sites at non-powered dams with the potential to produce an additional 632,000 MWh annually.  </w:t>
      </w:r>
      <w:r>
        <w:rPr>
          <w:rFonts w:ascii="arial" w:eastAsia="arial" w:hAnsi="arial" w:cs="arial"/>
          <w:vertAlign w:val="superscript"/>
        </w:rPr>
        <w:footnoteReference w:customMarkFollows="1" w:id="138"/>
        <w:t xml:space="preserve">137</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V</w:t>
        </w:r>
      </w:hyperlink>
      <w:r>
        <w:rPr>
          <w:rFonts w:ascii="arial" w:eastAsia="arial" w:hAnsi="arial" w:cs="arial"/>
          <w:b w:val="0"/>
          <w:i w:val="0"/>
          <w:strike w:val="0"/>
          <w:noProof w:val="0"/>
          <w:color w:val="000000"/>
          <w:position w:val="0"/>
          <w:sz w:val="20"/>
          <w:u w:val="none"/>
          <w:vertAlign w:val="baseline"/>
        </w:rPr>
        <w:t>. Potential Effects of The Frees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order to estimate the potential impact of the Frees decision,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I researched existing decreed appropriations for uses other than hydropower that exist on the 246 conduits and non-powered dams identified by the DOE in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That report identified sites by FERC number, latitude and longitude coordinates, and a name.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Where possible, I matched these data to the state's database of decreed water rights.  </w:t>
      </w:r>
      <w:r>
        <w:rPr>
          <w:rFonts w:ascii="arial" w:eastAsia="arial" w:hAnsi="arial" w:cs="arial"/>
          <w:vertAlign w:val="superscript"/>
        </w:rPr>
        <w:footnoteReference w:customMarkFollows="1" w:id="142"/>
        <w:t xml:space="preserve">141</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cross-referenced the latitude and longitude of the possible hydropower sites with the land grid sections in the United States Bureau of Land Management's Statewide Geographic Coordinate Database.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This database contains the locations and the extent of the township, range, and sections from the Public Land Survey System ("PLSS") for each state.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I determined the location of each of the 246 sites within a section of the database.  </w:t>
      </w:r>
      <w:r>
        <w:rPr>
          <w:rFonts w:ascii="arial" w:eastAsia="arial" w:hAnsi="arial" w:cs="arial"/>
          <w:vertAlign w:val="superscript"/>
        </w:rPr>
        <w:footnoteReference w:customMarkFollows="1" w:id="145"/>
        <w:t xml:space="preserve">144</w:t>
      </w:r>
    </w:p>
    <w:p>
      <w:pPr>
        <w:keepNext w:val="0"/>
        <w:spacing w:before="20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I</w:t>
        </w:r>
      </w:hyperlink>
      <w:r>
        <w:rPr>
          <w:rFonts w:ascii="arial" w:eastAsia="arial" w:hAnsi="arial" w:cs="arial"/>
          <w:b w:val="0"/>
          <w:i w:val="0"/>
          <w:strike w:val="0"/>
          <w:noProof w:val="0"/>
          <w:color w:val="000000"/>
          <w:position w:val="0"/>
          <w:sz w:val="20"/>
          <w:u w:val="none"/>
          <w:vertAlign w:val="baseline"/>
        </w:rPr>
        <w:t xml:space="preserve"> accomplished this matching via a custom-developed computer program I wrote in MATLAB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that compared the extent of each PLSS section to check if it contained each of the 246 sites.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The program created a composite table of water rights and nearby potential hydropower sites. In order to generate the figures infra, I first filtered the composite table of water rights using different variables such as water division,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149"/>
        <w:t xml:space="preserve">148</w:t>
      </w:r>
      <w:r>
        <w:rPr>
          <w:rFonts w:ascii="arial" w:eastAsia="arial" w:hAnsi="arial" w:cs="arial"/>
          <w:b w:val="0"/>
          <w:i w:val="0"/>
          <w:strike w:val="0"/>
          <w:noProof w:val="0"/>
          <w:color w:val="000000"/>
          <w:position w:val="0"/>
          <w:sz w:val="20"/>
          <w:u w:val="none"/>
          <w:vertAlign w:val="baseline"/>
        </w:rPr>
        <w:t xml:space="preserve"> and structure type.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I then added the total flows in the water rights.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Two sites the DOE identified in the Colo-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rado Assessment contained incorrect coordinate information, and so I corrected the coordinates in order to include them in the analysis.  </w:t>
      </w:r>
      <w:r>
        <w:rPr>
          <w:rFonts w:ascii="arial" w:eastAsia="arial" w:hAnsi="arial" w:cs="arial"/>
          <w:vertAlign w:val="superscript"/>
        </w:rPr>
        <w:footnoteReference w:customMarkFollows="1" w:id="152"/>
        <w:t xml:space="preserve">151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PLSS data shown in Figure 1 infra, I searched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Decision Support System for decreed water rights within each section containing a potential hydropower site.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I filtered the results to include only water rights whose diversion structures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described as "other," "ditch," "reservoir," "pipe," "power plant," and "minimum flow."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I excluded unlikely sources for hydropower development, such as ground water, wells, and pumps,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as well as seeps and springs.  </w:t>
      </w:r>
      <w:r>
        <w:rPr>
          <w:rFonts w:ascii="arial" w:eastAsia="arial" w:hAnsi="arial" w:cs="arial"/>
          <w:vertAlign w:val="superscript"/>
        </w:rPr>
        <w:footnoteReference w:customMarkFollows="1" w:id="156"/>
        <w:t xml:space="preserve">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assess the potential impact of the Frees decision,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 totaled for reservoirs the flows and storage volumes in groups by water court division, county, and structure type. I am aware of no publicly available assessment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hydropower potential that is more thorough than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This assessment combined with an exhaustive search of the state's de-creed water rights within proximity of a single PLSS section should indicate the water rights with hydropower potential.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potential shortcoming of the analysis is the relatively old age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Certainly, some pertinent details in the state's water distribution architecture have occurred since its publication in 1994.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It </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is also possible that some water rights, though in the same PLSS section, are in a different drainage than the potential hydropower site.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only reported on two sites with raw power capacity less than five kW order of magnitude of the Tidd's project.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Also, the list of potential hydropower sites identified by DOE is not exhaustive. For instance, the list did not include Garner Creek, the Tidds' proposed project source.  </w:t>
      </w:r>
      <w:r>
        <w:rPr>
          <w:rFonts w:ascii="arial" w:eastAsia="arial" w:hAnsi="arial" w:cs="arial"/>
          <w:vertAlign w:val="superscript"/>
        </w:rPr>
        <w:footnoteReference w:customMarkFollows="1" w:id="163"/>
        <w:t xml:space="preserve">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Results: The Frees Decision Could Subject The Water Used Under Several Hundred Senior Water Rights within the State to Junior Appropriations for Hydropower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cross-referencing the potential hydropower sites from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Assessment with the state's list of decreed water rights within the same land section, the Frees decision has the potential to affect up to 315 individual water rights.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These rights draw from seventy-three sources in thirty-two different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counties and seven Water Court Divisions.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total of all affected water rights flows is over 7,600 cfs.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Additionally, reservoirs hold nearly 1.3 million acre-feet of water in proximity to the potential power plant sites.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This is a substantial amount of water; for reference, the state's reservoirs currently hold over 2.5 million acre feet of water appropriated for power generation in general.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The largest potential source of flows (nearly 4,000 cfs) to support hydro-power projects could come from ditches, as in the Frees case.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second largest source (nearly 3,000 cfs) exists in power plant diversions.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 Water Court Divisions most affected are Divisions 4 and 5.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These divisions encompass the drainage of the Gunnison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Two counties in these divisions, Montrose and Mesa Counties, individually are among the largest possible sources for hydropower flows.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Specifically, Montrose County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has the potential to produce 3,011 cfs and Mesa County 2,338 cfs.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251 potential hydropower sites the DOE identified, 110 are in a PLSS section containing at least one decreed water right with a diversion in the same section, which may indicate the availability of water that a junior appropriator could use for hydropower purposes.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bulk of the decreed flows (approximately 6,000 cfs) coincide with existing impoundments that may qualify for development under the MOU.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remaining flows (approximately 1,000) are associated with unimproved sites that may qualify for development un-der the Efficiency Act.  </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Note that most flows are associated with existing impoundments, which number the fewest sites.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Specifically, forty existing structures account for over 6,400, and the remaining seventy-three unimproved sites account for 1,240 cfs.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That most of the high flow water resources are at existing sites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may imply that the quality of the remaining sites is less favorable for hydropower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1.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PLSS Sections and Potential Hydropower Sites  </w:t>
      </w:r>
      <w:r>
        <w:rPr>
          <w:rFonts w:ascii="arial" w:eastAsia="arial" w:hAnsi="arial" w:cs="arial"/>
          <w:vertAlign w:val="superscript"/>
        </w:rPr>
        <w:footnoteReference w:customMarkFollows="1" w:id="181"/>
        <w:t xml:space="preserve">180</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2. Possibly Affected Flows by Structure Type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3. Possibly Affected Flows by Water Court Division  </w:t>
      </w:r>
      <w:r>
        <w:rPr>
          <w:rFonts w:ascii="arial" w:eastAsia="arial" w:hAnsi="arial" w:cs="arial"/>
          <w:vertAlign w:val="superscript"/>
        </w:rPr>
        <w:footnoteReference w:customMarkFollows="1" w:id="183"/>
        <w:t xml:space="preserve">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[*175]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Figure 4. Possibly Affected Flows by Site Type, and Site Count </w:t>
      </w:r>
      <w:r>
        <w:rPr>
          <w:rFonts w:ascii="arial" w:eastAsia="arial" w:hAnsi="arial" w:cs="arial"/>
          <w:vertAlign w:val="superscript"/>
        </w:rPr>
        <w:footnoteReference w:customMarkFollows="1" w:id="184"/>
        <w:t xml:space="preserve">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Total Flows Possibly Affected by County</w:t>
      </w:r>
      <w:r>
        <w:rPr>
          <w:rFonts w:ascii="arial" w:eastAsia="arial" w:hAnsi="arial" w:cs="arial"/>
          <w:vertAlign w:val="superscript"/>
        </w:rPr>
        <w:footnoteReference w:customMarkFollows="1" w:id="185"/>
        <w:t xml:space="preserve">184</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958"/>
        <w:gridCol w:w="2711"/>
        <w:gridCol w:w="1958"/>
        <w:gridCol w:w="3614"/>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Name</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Flow (CFS)</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County Name</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Total Flow (CFS)</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ARCH</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LARIMER</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95.8</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BOULDER</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34.9</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MESA</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2337.6</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CHAFEE</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MONTROSE</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3011.5</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CLEAR CREEK</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135.4</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MONTEZUMA</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DELTA</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97.1</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OURAY</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EAGLE</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60.79</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PARK</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11.3</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FREMONT</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PITKIN</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GARFIELD</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152.3</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PUEBLO</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38.0</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GRAND</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223.0</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RIO BLANCO</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234.5</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318.9</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ROUTT</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6.4</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HINSDALE</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21.8</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SAGUACHE</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JACKSON</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249.3</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SAN MIGUEL</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29.5</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JEFFERSON</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SUMMIT</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LAKE</w:t>
            </w:r>
          </w:p>
        </w:tc>
        <w:tc>
          <w:tcPr>
            <w:tcW w:w="2711"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405.1</w:t>
            </w:r>
          </w:p>
        </w:tc>
        <w:tc>
          <w:tcPr>
            <w:tcW w:w="195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WELD</w:t>
            </w:r>
          </w:p>
        </w:tc>
        <w:tc>
          <w:tcPr>
            <w:tcW w:w="3614"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958"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LA PLATA</w:t>
            </w:r>
          </w:p>
        </w:tc>
        <w:tc>
          <w:tcPr>
            <w:tcW w:w="2711"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958" w:type="dxa"/>
            <w:tcBorders>
              <w:right w:val="nil"/>
            </w:tcBorders>
            <w:tcMar>
              <w:top w:w="20" w:type="dxa"/>
              <w:bottom w:w="20" w:type="dxa"/>
            </w:tcMar>
            <w:vAlign w:val="top"/>
          </w:tcPr>
          <w:p/>
        </w:tc>
        <w:tc>
          <w:tcPr>
            <w:tcW w:w="3614"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Possibly Affected by Water Source </w:t>
      </w:r>
      <w:r>
        <w:rPr>
          <w:rFonts w:ascii="arial" w:eastAsia="arial" w:hAnsi="arial" w:cs="arial"/>
          <w:vertAlign w:val="superscript"/>
        </w:rPr>
        <w:footnoteReference w:customMarkFollows="1" w:id="186"/>
        <w:t xml:space="preserve">185</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775"/>
        <w:gridCol w:w="1365"/>
        <w:gridCol w:w="1911"/>
        <w:gridCol w:w="1502"/>
        <w:gridCol w:w="2048"/>
        <w:gridCol w:w="1638"/>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Source</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Total Flow</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Flow</w:t>
            </w: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Flow (CFS)</w:t>
            </w: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(CFS)</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(CFS)</w:t>
            </w: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ALDER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DIRTY GEORGE</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ROARING FORK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ALFALFA RUN</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DRY CEDAR</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ROCK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ANIMAS </w:t>
            </w: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21.9</w:t>
            </w:r>
          </w:p>
        </w:tc>
        <w:tc>
          <w:tcPr>
            <w:tcW w:w="19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EAGLE </w:t>
            </w:r>
            <w:r>
              <w:rPr>
                <w:rFonts w:ascii="arial" w:eastAsia="arial" w:hAnsi="arial" w:cs="arial"/>
                <w:b/>
                <w:i/>
                <w:strike w:val="0"/>
                <w:noProof w:val="0"/>
                <w:color w:val="000000"/>
                <w:position w:val="0"/>
                <w:sz w:val="18"/>
                <w:u w:val="single"/>
                <w:vertAlign w:val="baseline"/>
              </w:rPr>
              <w:t>RIVER</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30.0</w:t>
            </w: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SAN JUAN </w:t>
            </w: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ELK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SAN MIGUEL</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12.3</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BEAR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GOOSE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26.0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SHUTETOWN</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BEAVER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GUNNISON</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3054.9</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SLAUGHTERHOUSE</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GULCH</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BIG</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GYPSUM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THOMPSON</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ARKANSAS </w:t>
            </w: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BLUE </w:t>
            </w: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155.5</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HARRISON</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FORK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249.3</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MICHIGAN </w:t>
            </w: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BRANDY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HENSON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FORK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45.4</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WHITE </w:t>
            </w: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BRUSH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IRON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SAINT</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8.9</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VRAIN CREEK</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CACHE LA</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95.8</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KANNAH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SPRING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POUDRE </w:t>
            </w: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CANYON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KENNEDY GULCH</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36.7</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CHERRY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KISER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SWEETWATER</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CHICKEN</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0.5</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LAKE FORK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427.6</w:t>
            </w: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TAYLOR </w:t>
            </w: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240.4</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CIMARRON</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LEAVENWORTH</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88.5</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THOMAS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CLEAR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LONGS GULCH</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TUMBLE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COAL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MAD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TURKEY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COCHETOPA</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19.3</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WARD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2483.0</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MILLER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 CHICAGO</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COW CREEK</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FORK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20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WHITE </w:t>
            </w:r>
            <w:r>
              <w:rPr>
                <w:rFonts w:ascii="arial" w:eastAsia="arial" w:hAnsi="arial" w:cs="arial"/>
                <w:b/>
                <w:i/>
                <w:strike w:val="0"/>
                <w:noProof w:val="0"/>
                <w:color w:val="000000"/>
                <w:position w:val="0"/>
                <w:sz w:val="18"/>
                <w:u w:val="single"/>
                <w:vertAlign w:val="baseline"/>
              </w:rPr>
              <w:t>RIVER</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175.5</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PLATTE</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CRYSTAL</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FORK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WILLOW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RIVER</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WHITE </w:t>
            </w:r>
            <w:r>
              <w:rPr>
                <w:rFonts w:ascii="arial" w:eastAsia="arial" w:hAnsi="arial" w:cs="arial"/>
                <w:b/>
                <w:i/>
                <w:strike w:val="0"/>
                <w:noProof w:val="0"/>
                <w:color w:val="000000"/>
                <w:position w:val="0"/>
                <w:sz w:val="18"/>
                <w:u w:val="single"/>
                <w:vertAlign w:val="baseline"/>
              </w:rPr>
              <w:t>RIVER</w:t>
            </w: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DANVERS</w:t>
            </w:r>
          </w:p>
        </w:tc>
        <w:tc>
          <w:tcPr>
            <w:tcW w:w="136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911"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PERU CREEK</w:t>
            </w:r>
          </w:p>
        </w:tc>
        <w:tc>
          <w:tcPr>
            <w:tcW w:w="1502"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w:t>
            </w:r>
          </w:p>
        </w:tc>
        <w:tc>
          <w:tcPr>
            <w:tcW w:w="20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YULE CREEK</w:t>
            </w:r>
          </w:p>
        </w:tc>
        <w:tc>
          <w:tcPr>
            <w:tcW w:w="16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1775"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CREEK</w:t>
            </w:r>
          </w:p>
        </w:tc>
        <w:tc>
          <w:tcPr>
            <w:tcW w:w="1365" w:type="dxa"/>
            <w:tcBorders>
              <w:bottom w:val="nil"/>
              <w:right w:val="nil"/>
            </w:tcBorders>
            <w:tcMar>
              <w:top w:w="20" w:type="dxa"/>
              <w:bottom w:w="20" w:type="dxa"/>
            </w:tcMar>
            <w:vAlign w:val="top"/>
          </w:tcPr>
          <w:p/>
        </w:tc>
        <w:tc>
          <w:tcPr>
            <w:tcW w:w="1911" w:type="dxa"/>
            <w:tcBorders>
              <w:bottom w:val="nil"/>
              <w:right w:val="nil"/>
            </w:tcBorders>
            <w:tcMar>
              <w:top w:w="20" w:type="dxa"/>
              <w:bottom w:w="20" w:type="dxa"/>
            </w:tcMar>
            <w:vAlign w:val="top"/>
          </w:tcPr>
          <w:p/>
        </w:tc>
        <w:tc>
          <w:tcPr>
            <w:tcW w:w="1502" w:type="dxa"/>
            <w:tcBorders>
              <w:bottom w:val="nil"/>
              <w:right w:val="nil"/>
            </w:tcBorders>
            <w:tcMar>
              <w:top w:w="20" w:type="dxa"/>
              <w:bottom w:w="20" w:type="dxa"/>
            </w:tcMar>
            <w:vAlign w:val="top"/>
          </w:tcPr>
          <w:p/>
        </w:tc>
        <w:tc>
          <w:tcPr>
            <w:tcW w:w="2048" w:type="dxa"/>
            <w:tcBorders>
              <w:bottom w:val="nil"/>
              <w:right w:val="nil"/>
            </w:tcBorders>
            <w:tcMar>
              <w:top w:w="20" w:type="dxa"/>
              <w:bottom w:w="20" w:type="dxa"/>
            </w:tcMar>
            <w:vAlign w:val="top"/>
          </w:tcPr>
          <w:p/>
        </w:tc>
        <w:tc>
          <w:tcPr>
            <w:tcW w:w="1638"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1775"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DERBY CREEK</w:t>
            </w:r>
          </w:p>
        </w:tc>
        <w:tc>
          <w:tcPr>
            <w:tcW w:w="1365"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1911"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PLATEAU CREEK</w:t>
            </w:r>
          </w:p>
        </w:tc>
        <w:tc>
          <w:tcPr>
            <w:tcW w:w="1502"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19.1</w:t>
            </w:r>
          </w:p>
        </w:tc>
        <w:tc>
          <w:tcPr>
            <w:tcW w:w="2048" w:type="dxa"/>
            <w:tcBorders>
              <w:right w:val="nil"/>
            </w:tcBorders>
            <w:tcMar>
              <w:top w:w="20" w:type="dxa"/>
              <w:bottom w:w="20" w:type="dxa"/>
            </w:tcMar>
            <w:vAlign w:val="top"/>
          </w:tcPr>
          <w:p/>
        </w:tc>
        <w:tc>
          <w:tcPr>
            <w:tcW w:w="1638" w:type="dxa"/>
            <w:tcMar>
              <w:top w:w="20" w:type="dxa"/>
              <w:bottom w:w="20" w:type="dxa"/>
            </w:tcMar>
            <w:vAlign w:val="top"/>
          </w:tcP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Estimating the Scope of the Dissent's Unintended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her dissent in Frees, Justice Marquez warned about unintended consequences of the Frees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happens, for example, if the Frees wish to change the point of diversion for their Garner Creek Ditch No. 1 water right at some point in the future? If doing so would impact the availability of water for the Tidds' hydroelectric water right, is this "injury' sufficient to preclude such a change to the Frees' water right? In other words, what obligations do the Frees now have to avoid injury to the Tidds (or to a future holder of the Tidds' hydroelectric power right)? </w:t>
      </w:r>
      <w:r>
        <w:rPr>
          <w:rFonts w:ascii="arial" w:eastAsia="arial" w:hAnsi="arial" w:cs="arial"/>
          <w:vertAlign w:val="superscript"/>
        </w:rPr>
        <w:footnoteReference w:customMarkFollows="1" w:id="187"/>
        <w:t xml:space="preserve">186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Should this question arise for adjudication in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 I believe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St. Jude I decision is sufficient to resolve the situation.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In St. Jude's I, the Court re-affirmed a balancing test developed in prior cases: "The direction of the law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also been toward the accommodation doctrine, in requiring that, whenever possible, the uses must be exercised consonantly with one another."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Court cited its earlier case, Lazy Dog Ranch, to state that "both the holder of the easement and the owner of the land burdened by the easement have rights to use the property. Consequently, the interests of both parties must be balanced in order to achieve due and reasonable enjoyment of both the easement and the servient estate."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This holding suggests that Justice Marquez is correct: should the Frees wish to move their diversion point they will have to take the Tidds' new water right into consideration and will be unable to unilaterally move the diversion point.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relatively small size of most of the potential hydropower sites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(under five MW),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her predictions of wider socio-economic impacts seem at first unlikely from a practical point of view.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However, given the number of water rights that a junior appropriator may wish to use for hydropower development (over three hundred),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scope of potential conflicts expands greatly. Consider also the seventy-three water sources supplying those water rights,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and the situation becomes potentially more complex than in the Frees case, in which there were only two rights holders and a single ditch.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support of Justice Marquez's position, for instance, consider this extreme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hypothetical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Relying on the Frees decision,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a hydropower developer using run-of-the-</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generators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installs small five MW plants every half mile from the headwaters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all the way to the state line. To paraphrase the Frees decision, so long as the developer puts the water back where he found it and does not affect senior water rights, he is maximizing the beneficial use of the water.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Thus, the developer can obtain a whole series of junior appropriations using water also appropriated by the multitude of users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8" w:history="1">
        <w:r>
          <w:rPr>
            <w:rFonts w:ascii="arial" w:eastAsia="arial" w:hAnsi="arial" w:cs="arial"/>
            <w:b w:val="0"/>
            <w:i/>
            <w:strike w:val="0"/>
            <w:color w:val="0077CC"/>
            <w:sz w:val="20"/>
            <w:u w:val="single"/>
            <w:shd w:val="clear" w:color="auto" w:fill="FFFFFF"/>
            <w:vertAlign w:val="baseline"/>
          </w:rPr>
          <w:t>VI</w:t>
        </w:r>
      </w:hyperlink>
      <w:r>
        <w:rPr>
          <w:rFonts w:ascii="arial" w:eastAsia="arial" w:hAnsi="arial" w:cs="arial"/>
          <w:b w:val="0"/>
          <w:i w:val="0"/>
          <w:strike w:val="0"/>
          <w:noProof w:val="0"/>
          <w:color w:val="000000"/>
          <w:position w:val="0"/>
          <w:sz w:val="20"/>
          <w:u w:val="none"/>
          <w:vertAlign w:val="baseline"/>
        </w:rPr>
        <w:t>.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Supreme Court's decision in Frees,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coupled with an easing of federal regulations,  </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paved the way for more small-scale hydropower projects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Such projects can tap into the under-or undeveloped water power resources in the state.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decision strikes an appropriate balance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public policy of maximizing beneficial use of scarce water resources, while protecting the integrity of the state's prior appropriation doc-trine.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However, given the number of water rights and the associated flows or water storage that future hydropower projects could affect,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decision may lead to more conflicts over the beneficial use of the state's limited waters.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2016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James E. Francfort, U.S. Hydropower Resource Assessment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2 (1994) [hereinafter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(finding that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an unadjusted hydro-power potential of 2,346 megawatts ("MW") at 251 sites). After adjusting for land-use issues and the presence or absence of existing development at the particular sites, the authors estimated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hydropower potential at 665 MW. See id. </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Id. (showing that 188 sites of the 251 sites the report identified have hydropower potential less than ten MW).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infra Part III (discussing Hydropower Regulatory Efficiency Act, and Bureau of Reclamation Small Conduit Hydropower Development and Rural Jobs Act). </w:t>
      </w:r>
    </w:p>
  </w:footnote>
  <w:footnote w:id="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268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(holding that junior water right holder may appropriate water for non-consumptive, small-scale hydropower use). </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There is no generally accepted definition of small-scale hydropower.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Energy Office, The Small Hydropower Handbook 7 (2013); compare id. (defining "small-scale hydropower" as "development on existing infrastructure or hydropower with generating capacity of 2-megawatts or less."), with Hydropower Regulatory Efficiency Act of 2013, Pub. L. No. 113-23, § 3, </w:t>
      </w:r>
      <w:r>
        <w:rPr>
          <w:rFonts w:ascii="arial" w:eastAsia="arial" w:hAnsi="arial" w:cs="arial"/>
          <w:b/>
          <w:i/>
          <w:strike w:val="0"/>
          <w:noProof w:val="0"/>
          <w:color w:val="000000"/>
          <w:position w:val="0"/>
          <w:sz w:val="18"/>
          <w:u w:val="none"/>
          <w:vertAlign w:val="baseline"/>
        </w:rPr>
        <w:t>127 Stat. 493 (2013)</w:t>
      </w:r>
      <w:r>
        <w:rPr>
          <w:rFonts w:ascii="arial" w:eastAsia="arial" w:hAnsi="arial" w:cs="arial"/>
          <w:b w:val="0"/>
          <w:i w:val="0"/>
          <w:strike w:val="0"/>
          <w:noProof w:val="0"/>
          <w:color w:val="000000"/>
          <w:position w:val="0"/>
          <w:sz w:val="18"/>
          <w:u w:val="none"/>
          <w:vertAlign w:val="baseline"/>
        </w:rPr>
        <w:t xml:space="preserve"> (defining "small-scale hydropower" as below ten MW of electricity). In this Article, I define "small-scale hydropower" as sites with the potential to generate ten MW of electricity or less. </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The author is unaware of any similar attempt to correlate small-scale hydropower potential with effects on decreed water rights throughout the entire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p>
  </w:footnote>
  <w:footnote w:id="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U.S. Dep't of Energy, U.S. Energy Information Administration, Renewable &amp; Alternative Fuels, </w:t>
      </w:r>
      <w:hyperlink r:id="rId2" w:history="1">
        <w:r>
          <w:rPr>
            <w:rFonts w:ascii="arial" w:eastAsia="arial" w:hAnsi="arial" w:cs="arial"/>
            <w:b w:val="0"/>
            <w:i/>
            <w:strike w:val="0"/>
            <w:noProof w:val="0"/>
            <w:color w:val="0077CC"/>
            <w:position w:val="0"/>
            <w:sz w:val="18"/>
            <w:u w:val="single"/>
            <w:shd w:val="clear" w:color="auto" w:fill="FFFFFF"/>
            <w:vertAlign w:val="baseline"/>
          </w:rPr>
          <w:t>http://www.eia.gov/renewable/</w:t>
        </w:r>
      </w:hyperlink>
      <w:r>
        <w:rPr>
          <w:rFonts w:ascii="arial" w:eastAsia="arial" w:hAnsi="arial" w:cs="arial"/>
          <w:b w:val="0"/>
          <w:i w:val="0"/>
          <w:strike w:val="0"/>
          <w:noProof w:val="0"/>
          <w:color w:val="000000"/>
          <w:position w:val="0"/>
          <w:sz w:val="18"/>
          <w:u w:val="none"/>
          <w:vertAlign w:val="baseline"/>
        </w:rPr>
        <w:t xml:space="preserve"> (last visited Feb. 12, 2016).</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Id.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U.S. Dep't of Energy, U.S. Energy information Administration, Annual Energy Outlook 2015: With Projections TO 2040 A-1 (2015) (Total Energy Supply, Disposition, and Price Summary).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Id.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U.S. Dep't of Energy, Office of Energy Efficiency &amp; Renewable Energy, Wind and Hydropower Technologies, Feasibility Assessment of the Water Energy Resources of The United States for New Low Power and Small Hydro Classes of Hydroelectric Plants, at v (2006) [hereinafter Assessment]. </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Gina S. Warren, Hydropower: Time for a Small Makeover, </w:t>
      </w:r>
      <w:hyperlink r:id="rId3" w:history="1">
        <w:r>
          <w:rPr>
            <w:rFonts w:ascii="arial" w:eastAsia="arial" w:hAnsi="arial" w:cs="arial"/>
            <w:b w:val="0"/>
            <w:i/>
            <w:strike w:val="0"/>
            <w:noProof w:val="0"/>
            <w:color w:val="0077CC"/>
            <w:position w:val="0"/>
            <w:sz w:val="18"/>
            <w:u w:val="single"/>
            <w:shd w:val="clear" w:color="auto" w:fill="FFFFFF"/>
            <w:vertAlign w:val="baseline"/>
          </w:rPr>
          <w:t>24 Ind. Int'l &amp; Comp. L. Rev. 249, 250 (2014)</w:t>
        </w:r>
      </w:hyperlink>
      <w:r>
        <w:rPr>
          <w:rFonts w:ascii="arial" w:eastAsia="arial" w:hAnsi="arial" w:cs="arial"/>
          <w:b w:val="0"/>
          <w:i w:val="0"/>
          <w:strike w:val="0"/>
          <w:noProof w:val="0"/>
          <w:color w:val="000000"/>
          <w:position w:val="0"/>
          <w:sz w:val="18"/>
          <w:u w:val="none"/>
          <w:vertAlign w:val="baseline"/>
        </w:rPr>
        <w:t xml:space="preserve"> [hereinafter Hydropower]. </w:t>
      </w:r>
    </w:p>
  </w:footnote>
  <w:footnote w:id="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262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Id. </w:t>
      </w:r>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w:t>
      </w:r>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264.</w:t>
        </w:r>
      </w:hyperlink>
      <w:r>
        <w:rPr>
          <w:rFonts w:ascii="arial" w:eastAsia="arial" w:hAnsi="arial" w:cs="arial"/>
          <w:b w:val="0"/>
          <w:i w:val="0"/>
          <w:strike w:val="0"/>
          <w:noProof w:val="0"/>
          <w:color w:val="000000"/>
          <w:position w:val="0"/>
          <w:sz w:val="18"/>
          <w:u w:val="none"/>
          <w:vertAlign w:val="baseline"/>
        </w:rPr>
        <w:t xml:space="preserve"> (citing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Coffin v. Left Hand Ditch </w:t>
        </w:r>
      </w:hyperlink>
      <w:hyperlink r:id="rId5" w:history="1">
        <w:r>
          <w:rPr>
            <w:rFonts w:ascii="arial" w:eastAsia="arial" w:hAnsi="arial" w:cs="arial"/>
            <w:b/>
            <w:i/>
            <w:strike w:val="0"/>
            <w:noProof w:val="0"/>
            <w:color w:val="0077CC"/>
            <w:position w:val="0"/>
            <w:sz w:val="18"/>
            <w:u w:val="single"/>
            <w:shd w:val="clear" w:color="auto" w:fill="FFFFFF"/>
            <w:vertAlign w:val="baseline"/>
          </w:rPr>
          <w:t>Co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6 </w:t>
        </w:r>
      </w:hyperlink>
      <w:hyperlink r:id="rId5" w:history="1">
        <w:r>
          <w:rPr>
            <w:rFonts w:ascii="arial" w:eastAsia="arial" w:hAnsi="arial" w:cs="arial"/>
            <w:b/>
            <w:i/>
            <w:strike w:val="0"/>
            <w:noProof w:val="0"/>
            <w:color w:val="0077CC"/>
            <w:position w:val="0"/>
            <w:sz w:val="18"/>
            <w:u w:val="single"/>
            <w:shd w:val="clear" w:color="auto" w:fill="FFFFFF"/>
            <w:vertAlign w:val="baseline"/>
          </w:rPr>
          <w:t>Colo.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 443, 447 (1882)).</w:t>
        </w:r>
      </w:hyperlink>
      <w:r>
        <w:rPr>
          <w:rFonts w:ascii="arial" w:eastAsia="arial" w:hAnsi="arial" w:cs="arial"/>
          <w:b w:val="0"/>
          <w:i w:val="0"/>
          <w:strike w:val="0"/>
          <w:noProof w:val="0"/>
          <w:color w:val="000000"/>
          <w:position w:val="0"/>
          <w:sz w:val="18"/>
          <w:u w:val="none"/>
          <w:vertAlign w:val="baseline"/>
        </w:rPr>
        <w:t xml:space="preserve">  </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6" w:history="1">
        <w:r>
          <w:rPr>
            <w:rFonts w:ascii="arial" w:eastAsia="arial" w:hAnsi="arial" w:cs="arial"/>
            <w:b/>
            <w:i/>
            <w:strike w:val="0"/>
            <w:noProof w:val="0"/>
            <w:color w:val="0077CC"/>
            <w:position w:val="0"/>
            <w:sz w:val="18"/>
            <w:u w:val="single"/>
            <w:shd w:val="clear" w:color="auto" w:fill="FFFFFF"/>
            <w:vertAlign w:val="baseline"/>
          </w:rPr>
          <w:t>Colo.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6. </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Kobobel v.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Dep't of Natural Res., 249 P.3d 1127, 1134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2011).</w:t>
        </w:r>
      </w:hyperlink>
      <w:r>
        <w:rPr>
          <w:rFonts w:ascii="arial" w:eastAsia="arial" w:hAnsi="arial" w:cs="arial"/>
          <w:b w:val="0"/>
          <w:i w:val="0"/>
          <w:strike w:val="0"/>
          <w:noProof w:val="0"/>
          <w:color w:val="000000"/>
          <w:position w:val="0"/>
          <w:sz w:val="18"/>
          <w:u w:val="none"/>
          <w:vertAlign w:val="baseline"/>
        </w:rPr>
        <w:t xml:space="preserve">  </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Yunker v. Nichols, 1 </w:t>
        </w:r>
      </w:hyperlink>
      <w:hyperlink r:id="rId8" w:history="1">
        <w:r>
          <w:rPr>
            <w:rFonts w:ascii="arial" w:eastAsia="arial" w:hAnsi="arial" w:cs="arial"/>
            <w:b/>
            <w:i/>
            <w:strike w:val="0"/>
            <w:noProof w:val="0"/>
            <w:color w:val="0077CC"/>
            <w:position w:val="0"/>
            <w:sz w:val="18"/>
            <w:u w:val="single"/>
            <w:shd w:val="clear" w:color="auto" w:fill="FFFFFF"/>
            <w:vertAlign w:val="baseline"/>
          </w:rPr>
          <w:t>Colo.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 xml:space="preserve"> 551, 555 (1872).</w:t>
        </w:r>
      </w:hyperlink>
      <w:r>
        <w:rPr>
          <w:rFonts w:ascii="arial" w:eastAsia="arial" w:hAnsi="arial" w:cs="arial"/>
          <w:b w:val="0"/>
          <w:i w:val="0"/>
          <w:strike w:val="0"/>
          <w:noProof w:val="0"/>
          <w:color w:val="000000"/>
          <w:position w:val="0"/>
          <w:sz w:val="18"/>
          <w:u w:val="none"/>
          <w:vertAlign w:val="baseline"/>
        </w:rPr>
        <w:t xml:space="preserve">  </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1861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Terr. Laws § 2. </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7. </w:t>
      </w:r>
    </w:p>
  </w:footnote>
  <w:footnote w:id="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Roaring Fork Club, L.P. v. St. Jude's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36 P.3d 1229, 1239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A conditional water right holds a priority date in the appropriation system while the court adjudicates the application and the appropriator puts the water to beneficial use. See </w:t>
      </w:r>
      <w:hyperlink r:id="rId10"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1147-48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i/>
            <w:strike w:val="0"/>
            <w:noProof w:val="0"/>
            <w:color w:val="0077CC"/>
            <w:position w:val="0"/>
            <w:sz w:val="18"/>
            <w:u w:val="single"/>
            <w:shd w:val="clear" w:color="auto" w:fill="FFFFFF"/>
            <w:vertAlign w:val="baseline"/>
          </w:rPr>
          <w:t>Colo.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 Rev. Stat. § 37-86-102</w:t>
        </w:r>
      </w:hyperlink>
      <w:r>
        <w:rPr>
          <w:rFonts w:ascii="arial" w:eastAsia="arial" w:hAnsi="arial" w:cs="arial"/>
          <w:b w:val="0"/>
          <w:i w:val="0"/>
          <w:strike w:val="0"/>
          <w:noProof w:val="0"/>
          <w:color w:val="000000"/>
          <w:position w:val="0"/>
          <w:sz w:val="18"/>
          <w:u w:val="none"/>
          <w:vertAlign w:val="baseline"/>
        </w:rPr>
        <w:t xml:space="preserve"> (2015).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 37-86-105. </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 37-92-305(2). </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Fellhauer v. People, 447 P.2d 986, 994 (</w:t>
        </w:r>
      </w:hyperlink>
      <w:hyperlink r:id="rId12" w:history="1">
        <w:r>
          <w:rPr>
            <w:rFonts w:ascii="arial" w:eastAsia="arial" w:hAnsi="arial" w:cs="arial"/>
            <w:b/>
            <w:i/>
            <w:strike w:val="0"/>
            <w:noProof w:val="0"/>
            <w:color w:val="0077CC"/>
            <w:position w:val="0"/>
            <w:sz w:val="18"/>
            <w:u w:val="single"/>
            <w:shd w:val="clear" w:color="auto" w:fill="FFFFFF"/>
            <w:vertAlign w:val="baseline"/>
          </w:rPr>
          <w:t>Colo.</w:t>
        </w:r>
      </w:hyperlink>
      <w:hyperlink r:id="rId12" w:history="1">
        <w:r>
          <w:rPr>
            <w:rFonts w:ascii="arial" w:eastAsia="arial" w:hAnsi="arial" w:cs="arial"/>
            <w:b w:val="0"/>
            <w:i/>
            <w:strike w:val="0"/>
            <w:noProof w:val="0"/>
            <w:color w:val="0077CC"/>
            <w:position w:val="0"/>
            <w:sz w:val="18"/>
            <w:u w:val="single"/>
            <w:shd w:val="clear" w:color="auto" w:fill="FFFFFF"/>
            <w:vertAlign w:val="baseline"/>
          </w:rPr>
          <w:t xml:space="preserve"> 1968).</w:t>
        </w:r>
      </w:hyperlink>
      <w:r>
        <w:rPr>
          <w:rFonts w:ascii="arial" w:eastAsia="arial" w:hAnsi="arial" w:cs="arial"/>
          <w:b w:val="0"/>
          <w:i w:val="0"/>
          <w:strike w:val="0"/>
          <w:noProof w:val="0"/>
          <w:color w:val="000000"/>
          <w:position w:val="0"/>
          <w:sz w:val="18"/>
          <w:u w:val="none"/>
          <w:vertAlign w:val="baseline"/>
        </w:rPr>
        <w:t xml:space="preserve">  </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(2015). </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shd w:val="clear" w:color="auto" w:fill="FFFFFF"/>
            <w:vertAlign w:val="baseline"/>
          </w:rPr>
          <w:t>Empire Lodge Homeowners' Ass'n v. Moyer, 39 P.3d 1139, 1147 (</w:t>
        </w:r>
      </w:hyperlink>
      <w:hyperlink r:id="rId10" w:history="1">
        <w:r>
          <w:rPr>
            <w:rFonts w:ascii="arial" w:eastAsia="arial" w:hAnsi="arial" w:cs="arial"/>
            <w:b/>
            <w:i/>
            <w:strike w:val="0"/>
            <w:noProof w:val="0"/>
            <w:color w:val="0077CC"/>
            <w:position w:val="0"/>
            <w:sz w:val="18"/>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Mount Emmons Mining </w:t>
        </w:r>
      </w:hyperlink>
      <w:hyperlink r:id="rId13" w:history="1">
        <w:r>
          <w:rPr>
            <w:rFonts w:ascii="arial" w:eastAsia="arial" w:hAnsi="arial" w:cs="arial"/>
            <w:b/>
            <w:i/>
            <w:strike w:val="0"/>
            <w:noProof w:val="0"/>
            <w:color w:val="0077CC"/>
            <w:position w:val="0"/>
            <w:sz w:val="18"/>
            <w:u w:val="single"/>
            <w:shd w:val="clear" w:color="auto" w:fill="FFFFFF"/>
            <w:vertAlign w:val="baseline"/>
          </w:rPr>
          <w:t>Co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v. Town of Crested Butte, 40 P.3d 1255, 1257 (</w:t>
        </w:r>
      </w:hyperlink>
      <w:hyperlink r:id="rId13" w:history="1">
        <w:r>
          <w:rPr>
            <w:rFonts w:ascii="arial" w:eastAsia="arial" w:hAnsi="arial" w:cs="arial"/>
            <w:b/>
            <w:i/>
            <w:strike w:val="0"/>
            <w:noProof w:val="0"/>
            <w:color w:val="0077CC"/>
            <w:position w:val="0"/>
            <w:sz w:val="18"/>
            <w:u w:val="single"/>
            <w:shd w:val="clear" w:color="auto" w:fill="FFFFFF"/>
            <w:vertAlign w:val="baseline"/>
          </w:rPr>
          <w:t>Colo.</w:t>
        </w:r>
      </w:hyperlink>
      <w:hyperlink r:id="rId13" w:history="1">
        <w:r>
          <w:rPr>
            <w:rFonts w:ascii="arial" w:eastAsia="arial" w:hAnsi="arial" w:cs="arial"/>
            <w:b w:val="0"/>
            <w:i/>
            <w:strike w:val="0"/>
            <w:noProof w:val="0"/>
            <w:color w:val="0077CC"/>
            <w:position w:val="0"/>
            <w:sz w:val="18"/>
            <w:u w:val="single"/>
            <w:shd w:val="clear" w:color="auto" w:fill="FFFFFF"/>
            <w:vertAlign w:val="baseline"/>
          </w:rPr>
          <w:t xml:space="preserve"> 2002).</w:t>
        </w:r>
      </w:hyperlink>
      <w:r>
        <w:rPr>
          <w:rFonts w:ascii="arial" w:eastAsia="arial" w:hAnsi="arial" w:cs="arial"/>
          <w:b w:val="0"/>
          <w:i w:val="0"/>
          <w:strike w:val="0"/>
          <w:noProof w:val="0"/>
          <w:color w:val="000000"/>
          <w:position w:val="0"/>
          <w:sz w:val="18"/>
          <w:u w:val="none"/>
          <w:vertAlign w:val="baseline"/>
        </w:rPr>
        <w:t xml:space="preserve">  </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In re Bd. Of Cty. Comm'rs of Cty. of Arapahoe, 891 P.2d 952, 962 (</w:t>
        </w:r>
      </w:hyperlink>
      <w:hyperlink r:id="rId14" w:history="1">
        <w:r>
          <w:rPr>
            <w:rFonts w:ascii="arial" w:eastAsia="arial" w:hAnsi="arial" w:cs="arial"/>
            <w:b/>
            <w:i/>
            <w:strike w:val="0"/>
            <w:noProof w:val="0"/>
            <w:color w:val="0077CC"/>
            <w:position w:val="0"/>
            <w:sz w:val="18"/>
            <w:u w:val="single"/>
            <w:shd w:val="clear" w:color="auto" w:fill="FFFFFF"/>
            <w:vertAlign w:val="baseline"/>
          </w:rPr>
          <w:t>Colo.</w:t>
        </w:r>
      </w:hyperlink>
      <w:hyperlink r:id="rId14" w:history="1">
        <w:r>
          <w:rPr>
            <w:rFonts w:ascii="arial" w:eastAsia="arial" w:hAnsi="arial" w:cs="arial"/>
            <w:b w:val="0"/>
            <w:i/>
            <w:strike w:val="0"/>
            <w:noProof w:val="0"/>
            <w:color w:val="0077CC"/>
            <w:position w:val="0"/>
            <w:sz w:val="18"/>
            <w:u w:val="single"/>
            <w:shd w:val="clear" w:color="auto" w:fill="FFFFFF"/>
            <w:vertAlign w:val="baseline"/>
          </w:rPr>
          <w:t xml:space="preserve"> 1995).</w:t>
        </w:r>
      </w:hyperlink>
      <w:r>
        <w:rPr>
          <w:rFonts w:ascii="arial" w:eastAsia="arial" w:hAnsi="arial" w:cs="arial"/>
          <w:b w:val="0"/>
          <w:i w:val="0"/>
          <w:strike w:val="0"/>
          <w:noProof w:val="0"/>
          <w:color w:val="000000"/>
          <w:position w:val="0"/>
          <w:sz w:val="18"/>
          <w:u w:val="none"/>
          <w:vertAlign w:val="baseline"/>
        </w:rPr>
        <w:t xml:space="preserve">  </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Roaring Fork Club, L.P. v. St. Jude's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36 P.3d 1229, 1238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See infra pp. 10-11. </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See Julia S. Walters, Safeguarding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Water Supply: The New Confluence of Title Insurance and Water Rights Conveyances, </w:t>
      </w:r>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77 U. </w:t>
        </w:r>
      </w:hyperlink>
      <w:hyperlink r:id="rId15" w:history="1">
        <w:r>
          <w:rPr>
            <w:rFonts w:ascii="arial" w:eastAsia="arial" w:hAnsi="arial" w:cs="arial"/>
            <w:b/>
            <w:i/>
            <w:strike w:val="0"/>
            <w:noProof w:val="0"/>
            <w:color w:val="0077CC"/>
            <w:position w:val="0"/>
            <w:sz w:val="18"/>
            <w:u w:val="single"/>
            <w:shd w:val="clear" w:color="auto" w:fill="FFFFFF"/>
            <w:vertAlign w:val="baseline"/>
          </w:rPr>
          <w:t>Colo.</w:t>
        </w:r>
      </w:hyperlink>
      <w:hyperlink r:id="rId15" w:history="1">
        <w:r>
          <w:rPr>
            <w:rFonts w:ascii="arial" w:eastAsia="arial" w:hAnsi="arial" w:cs="arial"/>
            <w:b w:val="0"/>
            <w:i/>
            <w:strike w:val="0"/>
            <w:noProof w:val="0"/>
            <w:color w:val="0077CC"/>
            <w:position w:val="0"/>
            <w:sz w:val="18"/>
            <w:u w:val="single"/>
            <w:shd w:val="clear" w:color="auto" w:fill="FFFFFF"/>
            <w:vertAlign w:val="baseline"/>
          </w:rPr>
          <w:t xml:space="preserve"> L. Rev. 496 (2006)</w:t>
        </w:r>
      </w:hyperlink>
      <w:r>
        <w:rPr>
          <w:rFonts w:ascii="arial" w:eastAsia="arial" w:hAnsi="arial" w:cs="arial"/>
          <w:b w:val="0"/>
          <w:i w:val="0"/>
          <w:strike w:val="0"/>
          <w:noProof w:val="0"/>
          <w:color w:val="000000"/>
          <w:position w:val="0"/>
          <w:sz w:val="18"/>
          <w:u w:val="none"/>
          <w:vertAlign w:val="baseline"/>
        </w:rPr>
        <w:t xml:space="preserve"> (footnotes omit-ted) ("Because almost every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stream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has been over-appropriated for years, it has become increasingly difficult to obtain substantial and reliable new water supplies under junior rights.").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262, 268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4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266.</w:t>
        </w:r>
      </w:hyperlink>
      <w:r>
        <w:rPr>
          <w:rFonts w:ascii="arial" w:eastAsia="arial" w:hAnsi="arial" w:cs="arial"/>
          <w:b w:val="0"/>
          <w:i w:val="0"/>
          <w:strike w:val="0"/>
          <w:noProof w:val="0"/>
          <w:color w:val="000000"/>
          <w:position w:val="0"/>
          <w:sz w:val="18"/>
          <w:u w:val="none"/>
          <w:vertAlign w:val="baseline"/>
        </w:rPr>
        <w:t xml:space="preserve">  </w:t>
      </w:r>
    </w:p>
  </w:footnote>
  <w:footnote w:id="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270-72</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261.</w:t>
        </w:r>
      </w:hyperlink>
      <w:r>
        <w:rPr>
          <w:rFonts w:ascii="arial" w:eastAsia="arial" w:hAnsi="arial" w:cs="arial"/>
          <w:b w:val="0"/>
          <w:i w:val="0"/>
          <w:strike w:val="0"/>
          <w:noProof w:val="0"/>
          <w:color w:val="000000"/>
          <w:position w:val="0"/>
          <w:sz w:val="18"/>
          <w:u w:val="none"/>
          <w:vertAlign w:val="baseline"/>
        </w:rPr>
        <w:t xml:space="preserve">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Id. </w:t>
      </w:r>
    </w:p>
  </w:footnote>
  <w:footnote w:id="4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262.</w:t>
        </w:r>
      </w:hyperlink>
      <w:r>
        <w:rPr>
          <w:rFonts w:ascii="arial" w:eastAsia="arial" w:hAnsi="arial" w:cs="arial"/>
          <w:b w:val="0"/>
          <w:i w:val="0"/>
          <w:strike w:val="0"/>
          <w:noProof w:val="0"/>
          <w:color w:val="000000"/>
          <w:position w:val="0"/>
          <w:sz w:val="18"/>
          <w:u w:val="none"/>
          <w:vertAlign w:val="baseline"/>
        </w:rPr>
        <w:t xml:space="preserve">  </w:t>
      </w:r>
    </w:p>
  </w:footnote>
  <w:footnote w:id="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261.</w:t>
        </w:r>
      </w:hyperlink>
      <w:r>
        <w:rPr>
          <w:rFonts w:ascii="arial" w:eastAsia="arial" w:hAnsi="arial" w:cs="arial"/>
          <w:b w:val="0"/>
          <w:i w:val="0"/>
          <w:strike w:val="0"/>
          <w:noProof w:val="0"/>
          <w:color w:val="000000"/>
          <w:position w:val="0"/>
          <w:sz w:val="18"/>
          <w:u w:val="none"/>
          <w:vertAlign w:val="baseline"/>
        </w:rPr>
        <w:t xml:space="preserve">  </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263.</w:t>
        </w:r>
      </w:hyperlink>
      <w:r>
        <w:rPr>
          <w:rFonts w:ascii="arial" w:eastAsia="arial" w:hAnsi="arial" w:cs="arial"/>
          <w:b w:val="0"/>
          <w:i w:val="0"/>
          <w:strike w:val="0"/>
          <w:noProof w:val="0"/>
          <w:color w:val="000000"/>
          <w:position w:val="0"/>
          <w:sz w:val="18"/>
          <w:u w:val="none"/>
          <w:vertAlign w:val="baseline"/>
        </w:rPr>
        <w:t xml:space="preserve">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Id. </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Id. </w:t>
      </w:r>
    </w:p>
  </w:footnote>
  <w:footnote w:id="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Id. </w:t>
      </w:r>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265.</w:t>
        </w:r>
      </w:hyperlink>
      <w:r>
        <w:rPr>
          <w:rFonts w:ascii="arial" w:eastAsia="arial" w:hAnsi="arial" w:cs="arial"/>
          <w:b w:val="0"/>
          <w:i w:val="0"/>
          <w:strike w:val="0"/>
          <w:noProof w:val="0"/>
          <w:color w:val="000000"/>
          <w:position w:val="0"/>
          <w:sz w:val="18"/>
          <w:u w:val="none"/>
          <w:vertAlign w:val="baseline"/>
        </w:rPr>
        <w:t xml:space="preserve">  </w:t>
      </w:r>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263.</w:t>
        </w:r>
      </w:hyperlink>
      <w:r>
        <w:rPr>
          <w:rFonts w:ascii="arial" w:eastAsia="arial" w:hAnsi="arial" w:cs="arial"/>
          <w:b w:val="0"/>
          <w:i w:val="0"/>
          <w:strike w:val="0"/>
          <w:noProof w:val="0"/>
          <w:color w:val="000000"/>
          <w:position w:val="0"/>
          <w:sz w:val="18"/>
          <w:u w:val="none"/>
          <w:vertAlign w:val="baseline"/>
        </w:rPr>
        <w:t xml:space="preserve">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Id. </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263-64.</w:t>
        </w:r>
      </w:hyperlink>
      <w:r>
        <w:rPr>
          <w:rFonts w:ascii="arial" w:eastAsia="arial" w:hAnsi="arial" w:cs="arial"/>
          <w:b w:val="0"/>
          <w:i w:val="0"/>
          <w:strike w:val="0"/>
          <w:noProof w:val="0"/>
          <w:color w:val="000000"/>
          <w:position w:val="0"/>
          <w:sz w:val="18"/>
          <w:u w:val="none"/>
          <w:vertAlign w:val="baseline"/>
        </w:rPr>
        <w:t xml:space="preserve">  </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263.</w:t>
        </w:r>
      </w:hyperlink>
      <w:r>
        <w:rPr>
          <w:rFonts w:ascii="arial" w:eastAsia="arial" w:hAnsi="arial" w:cs="arial"/>
          <w:b w:val="0"/>
          <w:i w:val="0"/>
          <w:strike w:val="0"/>
          <w:noProof w:val="0"/>
          <w:color w:val="000000"/>
          <w:position w:val="0"/>
          <w:sz w:val="18"/>
          <w:u w:val="none"/>
          <w:vertAlign w:val="baseline"/>
        </w:rPr>
        <w:t xml:space="preserve">  </w:t>
      </w:r>
    </w:p>
  </w:footnote>
  <w:footnote w:id="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Id.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Id.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Id. </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265.</w:t>
        </w:r>
      </w:hyperlink>
      <w:r>
        <w:rPr>
          <w:rFonts w:ascii="arial" w:eastAsia="arial" w:hAnsi="arial" w:cs="arial"/>
          <w:b w:val="0"/>
          <w:i w:val="0"/>
          <w:strike w:val="0"/>
          <w:noProof w:val="0"/>
          <w:color w:val="000000"/>
          <w:position w:val="0"/>
          <w:sz w:val="18"/>
          <w:u w:val="none"/>
          <w:vertAlign w:val="baseline"/>
        </w:rPr>
        <w:t xml:space="preserve">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Id. </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Pub. Serv.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of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v. Fed. Energy Regulatory Comm'n., 754 F.2d 1555 (10th Cir. 1985).</w:t>
        </w:r>
      </w:hyperlink>
      <w:r>
        <w:rPr>
          <w:rFonts w:ascii="arial" w:eastAsia="arial" w:hAnsi="arial" w:cs="arial"/>
          <w:b w:val="0"/>
          <w:i w:val="0"/>
          <w:strike w:val="0"/>
          <w:noProof w:val="0"/>
          <w:color w:val="000000"/>
          <w:position w:val="0"/>
          <w:sz w:val="18"/>
          <w:u w:val="none"/>
          <w:vertAlign w:val="baseline"/>
        </w:rPr>
        <w:t xml:space="preserve">  </w:t>
      </w:r>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266</w:t>
        </w:r>
      </w:hyperlink>
      <w:r>
        <w:rPr>
          <w:rFonts w:ascii="arial" w:eastAsia="arial" w:hAnsi="arial" w:cs="arial"/>
          <w:b w:val="0"/>
          <w:i w:val="0"/>
          <w:strike w:val="0"/>
          <w:noProof w:val="0"/>
          <w:color w:val="000000"/>
          <w:position w:val="0"/>
          <w:sz w:val="18"/>
          <w:u w:val="none"/>
          <w:vertAlign w:val="baseline"/>
        </w:rPr>
        <w:t xml:space="preserve"> (quoting </w:t>
      </w:r>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Pub. Serv. </w:t>
        </w:r>
      </w:hyperlink>
      <w:hyperlink r:id="rId17" w:history="1">
        <w:r>
          <w:rPr>
            <w:rFonts w:ascii="arial" w:eastAsia="arial" w:hAnsi="arial" w:cs="arial"/>
            <w:b/>
            <w:i/>
            <w:strike w:val="0"/>
            <w:noProof w:val="0"/>
            <w:color w:val="0077CC"/>
            <w:position w:val="0"/>
            <w:sz w:val="18"/>
            <w:u w:val="single"/>
            <w:shd w:val="clear" w:color="auto" w:fill="FFFFFF"/>
            <w:vertAlign w:val="baseline"/>
          </w:rPr>
          <w:t>Co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xml:space="preserve">. of </w:t>
        </w:r>
      </w:hyperlink>
      <w:hyperlink r:id="rId17" w:history="1">
        <w:r>
          <w:rPr>
            <w:rFonts w:ascii="arial" w:eastAsia="arial" w:hAnsi="arial" w:cs="arial"/>
            <w:b/>
            <w:i/>
            <w:strike w:val="0"/>
            <w:noProof w:val="0"/>
            <w:color w:val="0077CC"/>
            <w:position w:val="0"/>
            <w:sz w:val="18"/>
            <w:u w:val="single"/>
            <w:shd w:val="clear" w:color="auto" w:fill="FFFFFF"/>
            <w:vertAlign w:val="baseline"/>
          </w:rPr>
          <w:t>Colo.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 91 F.3d at 1565).</w:t>
        </w:r>
      </w:hyperlink>
      <w:r>
        <w:rPr>
          <w:rFonts w:ascii="arial" w:eastAsia="arial" w:hAnsi="arial" w:cs="arial"/>
          <w:b w:val="0"/>
          <w:i w:val="0"/>
          <w:strike w:val="0"/>
          <w:noProof w:val="0"/>
          <w:color w:val="000000"/>
          <w:position w:val="0"/>
          <w:sz w:val="18"/>
          <w:u w:val="none"/>
          <w:vertAlign w:val="baseline"/>
        </w:rPr>
        <w:t xml:space="preserve">  </w:t>
      </w:r>
    </w:p>
  </w:footnote>
  <w:footnote w:id="6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Id. at 266. </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(quoting </w:t>
      </w:r>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Pub. Serv. </w:t>
        </w:r>
      </w:hyperlink>
      <w:hyperlink r:id="rId16" w:history="1">
        <w:r>
          <w:rPr>
            <w:rFonts w:ascii="arial" w:eastAsia="arial" w:hAnsi="arial" w:cs="arial"/>
            <w:b/>
            <w:i/>
            <w:strike w:val="0"/>
            <w:noProof w:val="0"/>
            <w:color w:val="0077CC"/>
            <w:position w:val="0"/>
            <w:sz w:val="18"/>
            <w:u w:val="single"/>
            <w:shd w:val="clear" w:color="auto" w:fill="FFFFFF"/>
            <w:vertAlign w:val="baseline"/>
          </w:rPr>
          <w:t>Co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of </w:t>
        </w:r>
      </w:hyperlink>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754 F.2d at 1566)</w:t>
        </w:r>
      </w:hyperlink>
      <w:r>
        <w:rPr>
          <w:rFonts w:ascii="arial" w:eastAsia="arial" w:hAnsi="arial" w:cs="arial"/>
          <w:b w:val="0"/>
          <w:i w:val="0"/>
          <w:strike w:val="0"/>
          <w:noProof w:val="0"/>
          <w:color w:val="000000"/>
          <w:position w:val="0"/>
          <w:sz w:val="18"/>
          <w:u w:val="none"/>
          <w:vertAlign w:val="baseline"/>
        </w:rPr>
        <w:t xml:space="preserve"> (further citation omitted).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Id. at 266.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at 265-66. </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Id. at 265. </w:t>
      </w:r>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Id. (citing </w:t>
      </w:r>
      <w:hyperlink r:id="rId18" w:history="1">
        <w:r>
          <w:rPr>
            <w:rFonts w:ascii="arial" w:eastAsia="arial" w:hAnsi="arial" w:cs="arial"/>
            <w:b w:val="0"/>
            <w:i/>
            <w:strike w:val="0"/>
            <w:noProof w:val="0"/>
            <w:color w:val="0077CC"/>
            <w:position w:val="0"/>
            <w:sz w:val="18"/>
            <w:u w:val="single"/>
            <w:shd w:val="clear" w:color="auto" w:fill="FFFFFF"/>
            <w:vertAlign w:val="baseline"/>
          </w:rPr>
          <w:t>Nichols v. McIntosh, 34 P. 278, 279 (</w:t>
        </w:r>
      </w:hyperlink>
      <w:hyperlink r:id="rId18" w:history="1">
        <w:r>
          <w:rPr>
            <w:rFonts w:ascii="arial" w:eastAsia="arial" w:hAnsi="arial" w:cs="arial"/>
            <w:b/>
            <w:i/>
            <w:strike w:val="0"/>
            <w:noProof w:val="0"/>
            <w:color w:val="0077CC"/>
            <w:position w:val="0"/>
            <w:sz w:val="18"/>
            <w:u w:val="single"/>
            <w:shd w:val="clear" w:color="auto" w:fill="FFFFFF"/>
            <w:vertAlign w:val="baseline"/>
          </w:rPr>
          <w:t>Colo.</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xml:space="preserve"> 1893)).</w:t>
        </w:r>
      </w:hyperlink>
      <w:r>
        <w:rPr>
          <w:rFonts w:ascii="arial" w:eastAsia="arial" w:hAnsi="arial" w:cs="arial"/>
          <w:b w:val="0"/>
          <w:i w:val="0"/>
          <w:strike w:val="0"/>
          <w:noProof w:val="0"/>
          <w:color w:val="000000"/>
          <w:position w:val="0"/>
          <w:sz w:val="18"/>
          <w:u w:val="none"/>
          <w:vertAlign w:val="baseline"/>
        </w:rPr>
        <w:t xml:space="preserve">  </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at 266.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w:t>
      </w:r>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267-68</w:t>
        </w:r>
      </w:hyperlink>
      <w:r>
        <w:rPr>
          <w:rFonts w:ascii="arial" w:eastAsia="arial" w:hAnsi="arial" w:cs="arial"/>
          <w:b w:val="0"/>
          <w:i w:val="0"/>
          <w:strike w:val="0"/>
          <w:noProof w:val="0"/>
          <w:color w:val="000000"/>
          <w:position w:val="0"/>
          <w:sz w:val="18"/>
          <w:u w:val="none"/>
          <w:vertAlign w:val="baseline"/>
        </w:rPr>
        <w:t xml:space="preserve"> (quoting </w:t>
      </w:r>
      <w:hyperlink r:id="rId19" w:history="1">
        <w:r>
          <w:rPr>
            <w:rFonts w:ascii="arial" w:eastAsia="arial" w:hAnsi="arial" w:cs="arial"/>
            <w:b/>
            <w:i/>
            <w:strike w:val="0"/>
            <w:noProof w:val="0"/>
            <w:color w:val="0077CC"/>
            <w:position w:val="0"/>
            <w:sz w:val="18"/>
            <w:u w:val="single"/>
            <w:shd w:val="clear" w:color="auto" w:fill="FFFFFF"/>
            <w:vertAlign w:val="baseline"/>
          </w:rPr>
          <w:t>Colo.</w:t>
        </w:r>
      </w:hyperlink>
      <w:hyperlink r:id="rId19" w:history="1">
        <w:r>
          <w:rPr>
            <w:rFonts w:ascii="arial" w:eastAsia="arial" w:hAnsi="arial" w:cs="arial"/>
            <w:b w:val="0"/>
            <w:i/>
            <w:strike w:val="0"/>
            <w:noProof w:val="0"/>
            <w:color w:val="0077CC"/>
            <w:position w:val="0"/>
            <w:sz w:val="18"/>
            <w:u w:val="single"/>
            <w:shd w:val="clear" w:color="auto" w:fill="FFFFFF"/>
            <w:vertAlign w:val="baseline"/>
          </w:rPr>
          <w:t xml:space="preserve"> Rev. Stat. 37-92-305(9)(b)</w:t>
        </w:r>
      </w:hyperlink>
      <w:r>
        <w:rPr>
          <w:rFonts w:ascii="arial" w:eastAsia="arial" w:hAnsi="arial" w:cs="arial"/>
          <w:b w:val="0"/>
          <w:i w:val="0"/>
          <w:strike w:val="0"/>
          <w:noProof w:val="0"/>
          <w:color w:val="000000"/>
          <w:position w:val="0"/>
          <w:sz w:val="18"/>
          <w:u w:val="none"/>
          <w:vertAlign w:val="baseline"/>
        </w:rPr>
        <w:t xml:space="preserve"> (2014)) (further citation omitted). </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267.</w:t>
        </w:r>
      </w:hyperlink>
      <w:r>
        <w:rPr>
          <w:rFonts w:ascii="arial" w:eastAsia="arial" w:hAnsi="arial" w:cs="arial"/>
          <w:b w:val="0"/>
          <w:i w:val="0"/>
          <w:strike w:val="0"/>
          <w:noProof w:val="0"/>
          <w:color w:val="000000"/>
          <w:position w:val="0"/>
          <w:sz w:val="18"/>
          <w:u w:val="none"/>
          <w:vertAlign w:val="baseline"/>
        </w:rPr>
        <w:t xml:space="preserve">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268.</w:t>
        </w:r>
      </w:hyperlink>
      <w:r>
        <w:rPr>
          <w:rFonts w:ascii="arial" w:eastAsia="arial" w:hAnsi="arial" w:cs="arial"/>
          <w:b w:val="0"/>
          <w:i w:val="0"/>
          <w:strike w:val="0"/>
          <w:noProof w:val="0"/>
          <w:color w:val="000000"/>
          <w:position w:val="0"/>
          <w:sz w:val="18"/>
          <w:u w:val="none"/>
          <w:vertAlign w:val="baseline"/>
        </w:rPr>
        <w:t xml:space="preserve">  </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i/>
            <w:strike w:val="0"/>
            <w:noProof w:val="0"/>
            <w:color w:val="0077CC"/>
            <w:position w:val="0"/>
            <w:sz w:val="18"/>
            <w:u w:val="single"/>
            <w:shd w:val="clear" w:color="auto" w:fill="FFFFFF"/>
            <w:vertAlign w:val="baseline"/>
          </w:rPr>
          <w:t>Colo.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 xml:space="preserve"> Rev. Stat. § 37-92-102(1)(a)</w:t>
        </w:r>
      </w:hyperlink>
      <w:r>
        <w:rPr>
          <w:rFonts w:ascii="arial" w:eastAsia="arial" w:hAnsi="arial" w:cs="arial"/>
          <w:b w:val="0"/>
          <w:i w:val="0"/>
          <w:strike w:val="0"/>
          <w:noProof w:val="0"/>
          <w:color w:val="000000"/>
          <w:position w:val="0"/>
          <w:sz w:val="18"/>
          <w:u w:val="none"/>
          <w:vertAlign w:val="baseline"/>
        </w:rPr>
        <w:t xml:space="preserve"> (2015). </w:t>
      </w:r>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268.</w:t>
        </w:r>
      </w:hyperlink>
      <w:r>
        <w:rPr>
          <w:rFonts w:ascii="arial" w:eastAsia="arial" w:hAnsi="arial" w:cs="arial"/>
          <w:b w:val="0"/>
          <w:i w:val="0"/>
          <w:strike w:val="0"/>
          <w:noProof w:val="0"/>
          <w:color w:val="000000"/>
          <w:position w:val="0"/>
          <w:sz w:val="18"/>
          <w:u w:val="none"/>
          <w:vertAlign w:val="baseline"/>
        </w:rPr>
        <w:t xml:space="preserve">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Id. </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269</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7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269</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269-70</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270</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271</w:t>
        </w:r>
      </w:hyperlink>
      <w:r>
        <w:rPr>
          <w:rFonts w:ascii="arial" w:eastAsia="arial" w:hAnsi="arial" w:cs="arial"/>
          <w:b w:val="0"/>
          <w:i w:val="0"/>
          <w:strike w:val="0"/>
          <w:noProof w:val="0"/>
          <w:color w:val="000000"/>
          <w:position w:val="0"/>
          <w:sz w:val="18"/>
          <w:u w:val="none"/>
          <w:vertAlign w:val="baseline"/>
        </w:rPr>
        <w:t xml:space="preserve"> (Marquez, J., dissenting) (citing </w:t>
      </w:r>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Buffalo Park Dev.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v. Mountain Mut. Resevoir </w:t>
        </w:r>
      </w:hyperlink>
      <w:hyperlink r:id="rId20" w:history="1">
        <w:r>
          <w:rPr>
            <w:rFonts w:ascii="arial" w:eastAsia="arial" w:hAnsi="arial" w:cs="arial"/>
            <w:b/>
            <w:i/>
            <w:strike w:val="0"/>
            <w:noProof w:val="0"/>
            <w:color w:val="0077CC"/>
            <w:position w:val="0"/>
            <w:sz w:val="18"/>
            <w:u w:val="single"/>
            <w:shd w:val="clear" w:color="auto" w:fill="FFFFFF"/>
            <w:vertAlign w:val="baseline"/>
          </w:rPr>
          <w:t>Co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195 P.3d 674, 685 (</w:t>
        </w:r>
      </w:hyperlink>
      <w:hyperlink r:id="rId20" w:history="1">
        <w:r>
          <w:rPr>
            <w:rFonts w:ascii="arial" w:eastAsia="arial" w:hAnsi="arial" w:cs="arial"/>
            <w:b/>
            <w:i/>
            <w:strike w:val="0"/>
            <w:noProof w:val="0"/>
            <w:color w:val="0077CC"/>
            <w:position w:val="0"/>
            <w:sz w:val="18"/>
            <w:u w:val="single"/>
            <w:shd w:val="clear" w:color="auto" w:fill="FFFFFF"/>
            <w:vertAlign w:val="baseline"/>
          </w:rPr>
          <w:t>Colo.</w:t>
        </w:r>
      </w:hyperlink>
      <w:hyperlink r:id="rId20" w:history="1">
        <w:r>
          <w:rPr>
            <w:rFonts w:ascii="arial" w:eastAsia="arial" w:hAnsi="arial" w:cs="arial"/>
            <w:b w:val="0"/>
            <w:i/>
            <w:strike w:val="0"/>
            <w:noProof w:val="0"/>
            <w:color w:val="0077CC"/>
            <w:position w:val="0"/>
            <w:sz w:val="18"/>
            <w:u w:val="single"/>
            <w:shd w:val="clear" w:color="auto" w:fill="FFFFFF"/>
            <w:vertAlign w:val="baseline"/>
          </w:rPr>
          <w:t xml:space="preserve"> 2008)).</w:t>
        </w:r>
      </w:hyperlink>
      <w:r>
        <w:rPr>
          <w:rFonts w:ascii="arial" w:eastAsia="arial" w:hAnsi="arial" w:cs="arial"/>
          <w:b w:val="0"/>
          <w:i w:val="0"/>
          <w:strike w:val="0"/>
          <w:noProof w:val="0"/>
          <w:color w:val="000000"/>
          <w:position w:val="0"/>
          <w:sz w:val="18"/>
          <w:u w:val="none"/>
          <w:vertAlign w:val="baseline"/>
        </w:rPr>
        <w:t xml:space="preserve">  </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Id. (Marquez, J., dissenting) (citation omitted).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Id. at 272 (Marquez, J., dissenting). </w:t>
      </w:r>
    </w:p>
  </w:footnote>
  <w:footnote w:id="8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(Marquez, J., dissenting).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Id. (Marquez, J., dissenting).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Section IV.C infra. </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Assessment, supra note 11, at 23. </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Gina S. Warren, Hydropower: It's a Small World After All, </w:t>
      </w:r>
      <w:hyperlink r:id="rId21" w:history="1">
        <w:r>
          <w:rPr>
            <w:rFonts w:ascii="arial" w:eastAsia="arial" w:hAnsi="arial" w:cs="arial"/>
            <w:b w:val="0"/>
            <w:i/>
            <w:strike w:val="0"/>
            <w:noProof w:val="0"/>
            <w:color w:val="0077CC"/>
            <w:position w:val="0"/>
            <w:sz w:val="18"/>
            <w:u w:val="single"/>
            <w:shd w:val="clear" w:color="auto" w:fill="FFFFFF"/>
            <w:vertAlign w:val="baseline"/>
          </w:rPr>
          <w:t>91 NEB. L. REV. 925, 926 (2013).</w:t>
        </w:r>
      </w:hyperlink>
      <w:r>
        <w:rPr>
          <w:rFonts w:ascii="arial" w:eastAsia="arial" w:hAnsi="arial" w:cs="arial"/>
          <w:b w:val="0"/>
          <w:i w:val="0"/>
          <w:strike w:val="0"/>
          <w:noProof w:val="0"/>
          <w:color w:val="000000"/>
          <w:position w:val="0"/>
          <w:sz w:val="18"/>
          <w:u w:val="none"/>
          <w:vertAlign w:val="baseline"/>
        </w:rPr>
        <w:t xml:space="preserve">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Hydropower Regulatory Efficiency Act of 2013, Pub. L. No. 113-23, </w:t>
      </w:r>
      <w:r>
        <w:rPr>
          <w:rFonts w:ascii="arial" w:eastAsia="arial" w:hAnsi="arial" w:cs="arial"/>
          <w:b/>
          <w:i/>
          <w:strike w:val="0"/>
          <w:noProof w:val="0"/>
          <w:color w:val="000000"/>
          <w:position w:val="0"/>
          <w:sz w:val="18"/>
          <w:u w:val="none"/>
          <w:vertAlign w:val="baseline"/>
        </w:rPr>
        <w:t>127 Stat. 493 (2013)</w:t>
      </w:r>
      <w:r>
        <w:rPr>
          <w:rFonts w:ascii="arial" w:eastAsia="arial" w:hAnsi="arial" w:cs="arial"/>
          <w:b w:val="0"/>
          <w:i w:val="0"/>
          <w:strike w:val="0"/>
          <w:noProof w:val="0"/>
          <w:color w:val="000000"/>
          <w:position w:val="0"/>
          <w:sz w:val="18"/>
          <w:u w:val="none"/>
          <w:vertAlign w:val="baseline"/>
        </w:rPr>
        <w:t xml:space="preserve"> (codified in scattered sections of title 16); Bureau of Reclamation Small Conduit Hydropower Development and Rural Jobs Act, Pub. L. No. 113-24, </w:t>
      </w:r>
      <w:r>
        <w:rPr>
          <w:rFonts w:ascii="arial" w:eastAsia="arial" w:hAnsi="arial" w:cs="arial"/>
          <w:b/>
          <w:i/>
          <w:strike w:val="0"/>
          <w:noProof w:val="0"/>
          <w:color w:val="000000"/>
          <w:position w:val="0"/>
          <w:sz w:val="18"/>
          <w:u w:val="none"/>
          <w:vertAlign w:val="baseline"/>
        </w:rPr>
        <w:t>127 Stat. 498 (2013).</w:t>
      </w:r>
      <w:r>
        <w:rPr>
          <w:rFonts w:ascii="arial" w:eastAsia="arial" w:hAnsi="arial" w:cs="arial"/>
          <w:b w:val="0"/>
          <w:i w:val="0"/>
          <w:strike w:val="0"/>
          <w:noProof w:val="0"/>
          <w:color w:val="000000"/>
          <w:position w:val="0"/>
          <w:sz w:val="18"/>
          <w:u w:val="none"/>
          <w:vertAlign w:val="baseline"/>
        </w:rPr>
        <w:t xml:space="preserve">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 3,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See § 4,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cf. Hydropower, supra note 12, at 260 (footnote omitted) ("Regardless of the size of the facility, the licensing process can take up to five-and-a-half years to complete and can cost thousands of dollars.").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Id. </w:t>
      </w:r>
    </w:p>
  </w:footnote>
  <w:footnote w:id="9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 5,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w:t>
      </w:r>
    </w:p>
  </w:footnote>
  <w:footnote w:id="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261-62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see infra note 197. </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 4,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Id.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Id.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Id. (defining a "conduit" as a "tunnel, canal, pipeline, aqueduct, flume, ditch, or similar manmade water conveyance"). </w:t>
      </w:r>
    </w:p>
  </w:footnote>
  <w:footnote w:id="10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Id. </w:t>
      </w:r>
    </w:p>
  </w:footnote>
  <w:footnote w:id="1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Bureau of Reclamation Small Conduit Hydropower Development and Rural Jobs Act of 2013, Pub. L. No. 113-24, </w:t>
      </w:r>
      <w:r>
        <w:rPr>
          <w:rFonts w:ascii="arial" w:eastAsia="arial" w:hAnsi="arial" w:cs="arial"/>
          <w:b/>
          <w:i/>
          <w:strike w:val="0"/>
          <w:noProof w:val="0"/>
          <w:color w:val="000000"/>
          <w:position w:val="0"/>
          <w:sz w:val="18"/>
          <w:u w:val="none"/>
          <w:vertAlign w:val="baseline"/>
        </w:rPr>
        <w:t>127 Stat. 498 (2013).</w:t>
      </w:r>
      <w:r>
        <w:rPr>
          <w:rFonts w:ascii="arial" w:eastAsia="arial" w:hAnsi="arial" w:cs="arial"/>
          <w:b w:val="0"/>
          <w:i w:val="0"/>
          <w:strike w:val="0"/>
          <w:noProof w:val="0"/>
          <w:color w:val="000000"/>
          <w:position w:val="0"/>
          <w:sz w:val="18"/>
          <w:u w:val="none"/>
          <w:vertAlign w:val="baseline"/>
        </w:rPr>
        <w:t xml:space="preserve">  </w:t>
      </w:r>
    </w:p>
  </w:footnote>
  <w:footnote w:id="10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 2, </w:t>
      </w:r>
      <w:r>
        <w:rPr>
          <w:rFonts w:ascii="arial" w:eastAsia="arial" w:hAnsi="arial" w:cs="arial"/>
          <w:b/>
          <w:i/>
          <w:strike w:val="0"/>
          <w:noProof w:val="0"/>
          <w:color w:val="000000"/>
          <w:position w:val="0"/>
          <w:sz w:val="18"/>
          <w:u w:val="none"/>
          <w:vertAlign w:val="baseline"/>
        </w:rPr>
        <w:t>127 Stat. 498.</w:t>
      </w:r>
      <w:r>
        <w:rPr>
          <w:rFonts w:ascii="arial" w:eastAsia="arial" w:hAnsi="arial" w:cs="arial"/>
          <w:b w:val="0"/>
          <w:i w:val="0"/>
          <w:strike w:val="0"/>
          <w:noProof w:val="0"/>
          <w:color w:val="000000"/>
          <w:position w:val="0"/>
          <w:sz w:val="18"/>
          <w:u w:val="none"/>
          <w:vertAlign w:val="baseline"/>
        </w:rPr>
        <w:t xml:space="preserve">  </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Id. </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Id. </w:t>
      </w:r>
    </w:p>
  </w:footnote>
  <w:footnote w:id="10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Hydropower, supra note 12, at 264. </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&amp; Fed. Energy Regulatory Comm'n, Memorandum of Understanding Between the Federal Energy Regulatory Commission and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through the Governor's Energy Office to Streamline and Simplify the Authorization of Small Scale Hydro-power Projects (2010) [hereinafter MOU]. </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i/>
            <w:strike w:val="0"/>
            <w:noProof w:val="0"/>
            <w:color w:val="0077CC"/>
            <w:position w:val="0"/>
            <w:sz w:val="18"/>
            <w:u w:val="single"/>
            <w:shd w:val="clear" w:color="auto" w:fill="FFFFFF"/>
            <w:vertAlign w:val="baseline"/>
          </w:rPr>
          <w:t>Colo.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 xml:space="preserve"> Rev. Stat. § 40-2-124</w:t>
        </w:r>
      </w:hyperlink>
      <w:r>
        <w:rPr>
          <w:rFonts w:ascii="arial" w:eastAsia="arial" w:hAnsi="arial" w:cs="arial"/>
          <w:b w:val="0"/>
          <w:i w:val="0"/>
          <w:strike w:val="0"/>
          <w:noProof w:val="0"/>
          <w:color w:val="000000"/>
          <w:position w:val="0"/>
          <w:sz w:val="18"/>
          <w:u w:val="none"/>
          <w:vertAlign w:val="baseline"/>
        </w:rPr>
        <w:t xml:space="preserve"> (2015) (mandating certain percentages of renewable electrical power generation within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different power generator types, by 2020). </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MOU supra note 105, at 2. </w:t>
      </w:r>
    </w:p>
  </w:footnote>
  <w:footnote w:id="10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Id. at 2. </w:t>
      </w:r>
    </w:p>
  </w:footnote>
  <w:footnote w:id="1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Id. at 2-4. </w:t>
      </w:r>
    </w:p>
  </w:footnote>
  <w:footnote w:id="1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Id. at 2. </w:t>
      </w:r>
    </w:p>
  </w:footnote>
  <w:footnote w:id="1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Id. at 4-5. </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Id. at 3. (numbering added for clarity). Note that the State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the FERC published the MOU three years prior to the passage of The Hydropower Regulatory Efficiency Act, and so the MOU reflects the older exemption limits. Compare id., with Hydropower Regulatory Efficiency Act of 2013, Pub. L. No. 113-23, </w:t>
      </w:r>
      <w:r>
        <w:rPr>
          <w:rFonts w:ascii="arial" w:eastAsia="arial" w:hAnsi="arial" w:cs="arial"/>
          <w:b/>
          <w:i/>
          <w:strike w:val="0"/>
          <w:noProof w:val="0"/>
          <w:color w:val="000000"/>
          <w:position w:val="0"/>
          <w:sz w:val="18"/>
          <w:u w:val="none"/>
          <w:vertAlign w:val="baseline"/>
        </w:rPr>
        <w:t>127 Stat. 493 (2013).</w:t>
      </w:r>
      <w:r>
        <w:rPr>
          <w:rFonts w:ascii="arial" w:eastAsia="arial" w:hAnsi="arial" w:cs="arial"/>
          <w:b w:val="0"/>
          <w:i w:val="0"/>
          <w:strike w:val="0"/>
          <w:noProof w:val="0"/>
          <w:color w:val="000000"/>
          <w:position w:val="0"/>
          <w:sz w:val="18"/>
          <w:u w:val="none"/>
          <w:vertAlign w:val="baseline"/>
        </w:rPr>
        <w:t xml:space="preserve">  </w:t>
      </w:r>
    </w:p>
  </w:footnote>
  <w:footnote w:id="11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See id.;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265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265.</w:t>
        </w:r>
      </w:hyperlink>
      <w:r>
        <w:rPr>
          <w:rFonts w:ascii="arial" w:eastAsia="arial" w:hAnsi="arial" w:cs="arial"/>
          <w:b w:val="0"/>
          <w:i w:val="0"/>
          <w:strike w:val="0"/>
          <w:noProof w:val="0"/>
          <w:color w:val="000000"/>
          <w:position w:val="0"/>
          <w:sz w:val="18"/>
          <w:u w:val="none"/>
          <w:vertAlign w:val="baseline"/>
        </w:rPr>
        <w:t xml:space="preserve">  </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2. </w:t>
      </w:r>
    </w:p>
  </w:footnote>
  <w:footnote w:id="1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See id.; see also Hydropower Regulatory Efficiency Act of 2013, Pub. L. No. 113-23, </w:t>
      </w:r>
      <w:r>
        <w:rPr>
          <w:rFonts w:ascii="arial" w:eastAsia="arial" w:hAnsi="arial" w:cs="arial"/>
          <w:b/>
          <w:i/>
          <w:strike w:val="0"/>
          <w:noProof w:val="0"/>
          <w:color w:val="000000"/>
          <w:position w:val="0"/>
          <w:sz w:val="18"/>
          <w:u w:val="none"/>
          <w:vertAlign w:val="baseline"/>
        </w:rPr>
        <w:t>127 Stat. 493 (2013);</w:t>
      </w:r>
      <w:r>
        <w:rPr>
          <w:rFonts w:ascii="arial" w:eastAsia="arial" w:hAnsi="arial" w:cs="arial"/>
          <w:b w:val="0"/>
          <w:i w:val="0"/>
          <w:strike w:val="0"/>
          <w:noProof w:val="0"/>
          <w:color w:val="000000"/>
          <w:position w:val="0"/>
          <w:sz w:val="18"/>
          <w:u w:val="none"/>
          <w:vertAlign w:val="baseline"/>
        </w:rPr>
        <w:t xml:space="preserve"> Bureau of Reclamation Small Conduit Hydropower Development and Rural Jobs Act of 2013, Pub. L. No. 113-24, </w:t>
      </w:r>
      <w:r>
        <w:rPr>
          <w:rFonts w:ascii="arial" w:eastAsia="arial" w:hAnsi="arial" w:cs="arial"/>
          <w:b/>
          <w:i/>
          <w:strike w:val="0"/>
          <w:noProof w:val="0"/>
          <w:color w:val="000000"/>
          <w:position w:val="0"/>
          <w:sz w:val="18"/>
          <w:u w:val="none"/>
          <w:vertAlign w:val="baseline"/>
        </w:rPr>
        <w:t>127 Stat. 498 (2013);</w:t>
      </w:r>
      <w:r>
        <w:rPr>
          <w:rFonts w:ascii="arial" w:eastAsia="arial" w:hAnsi="arial" w:cs="arial"/>
          <w:b w:val="0"/>
          <w:i w:val="0"/>
          <w:strike w:val="0"/>
          <w:noProof w:val="0"/>
          <w:color w:val="000000"/>
          <w:position w:val="0"/>
          <w:sz w:val="18"/>
          <w:u w:val="none"/>
          <w:vertAlign w:val="baseline"/>
        </w:rPr>
        <w:t xml:space="preserve"> MOU, supra note 105, at 3; infra Figure 4. </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Energy Office,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Small Hydropower Handbook (2013). </w:t>
      </w:r>
    </w:p>
  </w:footnote>
  <w:footnote w:id="1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Id. at 7. </w:t>
      </w:r>
    </w:p>
  </w:footnote>
  <w:footnote w:id="12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Id. </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Id. </w:t>
      </w:r>
    </w:p>
  </w:footnote>
  <w:footnote w:id="1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Assessment, supra note 11.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2. </w:t>
      </w:r>
    </w:p>
  </w:footnote>
  <w:footnote w:id="1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Id. at 1. </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Id. at app. D at 1. </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Id. at 1. </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See id. For each site, I calculated a nameplate power rating in kW. Then, I multiplied the name plate rating by the PESF to arrive at an adjusted power rating that reflects not only the site's raw power potential, but the likelihood someone will develop that potential into an actual power plant. For instance, appendix B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shows the Azure site on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has a nameplate rating of 21,000 kW. Id. at app B at 1. The site's PESF, how-ever, is only 0.1. Id. The adjusted capacity (PESF multiplied by name plate rating) is thus 2,100 kW. See id. This calculation reflects that although the raw potential of the site is strong, environmental and land-use factors make its development unlikely. See id. at 1. This Article relies on the adjusted power calculation. </w:t>
      </w:r>
    </w:p>
  </w:footnote>
  <w:footnote w:id="1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Id. at 2. Note that sites that fall under the first classifications have previously obtained licenses to generate hydropower and so they would not qualify under FPA exemptions. See Hydropower Regulatory Efficiency Act of 2013, Pub. L. No. 113-23,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 4 (2013). </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2. </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MOU, supra note 105, at 2. </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2. </w:t>
      </w:r>
    </w:p>
  </w:footnote>
  <w:footnote w:id="1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Id. at app. A at 1. </w:t>
      </w:r>
    </w:p>
  </w:footnote>
  <w:footnote w:id="1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See § 4,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MOU, supra note 105, at 3. </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See § 4,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2, 3 (Figure 2 and Figure 3); see also infra Figure 4. </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A at 1. </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U.S. Dep't of The Interior, Bureau of Reclamation, Power Resources Office, Site Inventory and Hydropower Energy Assessment of Reclamation Owned Conduits: Supplement to the "Hydropower Resource Assessment at Existing Reclamation Facilities Report 7 (2012). </w:t>
      </w:r>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See Bureau of Reclamation Small Conduit Hydropower Development and Rural Jobs Act of 2013, Pub. L. No. 113-24, </w:t>
      </w:r>
      <w:r>
        <w:rPr>
          <w:rFonts w:ascii="arial" w:eastAsia="arial" w:hAnsi="arial" w:cs="arial"/>
          <w:b/>
          <w:i/>
          <w:strike w:val="0"/>
          <w:noProof w:val="0"/>
          <w:color w:val="000000"/>
          <w:position w:val="0"/>
          <w:sz w:val="18"/>
          <w:u w:val="none"/>
          <w:vertAlign w:val="baseline"/>
        </w:rPr>
        <w:t>127 Stat. 498,</w:t>
      </w:r>
      <w:r>
        <w:rPr>
          <w:rFonts w:ascii="arial" w:eastAsia="arial" w:hAnsi="arial" w:cs="arial"/>
          <w:b w:val="0"/>
          <w:i w:val="0"/>
          <w:strike w:val="0"/>
          <w:noProof w:val="0"/>
          <w:color w:val="000000"/>
          <w:position w:val="0"/>
          <w:sz w:val="18"/>
          <w:u w:val="none"/>
          <w:vertAlign w:val="baseline"/>
        </w:rPr>
        <w:t xml:space="preserve"> § 2 (2013). </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Energy Office,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Small Hydropower Handbook 8 (2013). </w:t>
      </w:r>
    </w:p>
  </w:footnote>
  <w:footnote w:id="1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See discussion supra Part II. </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3 (Figure 3), app. A at 1. </w:t>
      </w:r>
    </w:p>
  </w:footnote>
  <w:footnote w:id="1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Id. at app. D-1 to D-251. </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Decision Support Systems: Water Rights,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hyperlink r:id="rId23" w:history="1">
        <w:r>
          <w:rPr>
            <w:rFonts w:ascii="arial" w:eastAsia="arial" w:hAnsi="arial" w:cs="arial"/>
            <w:b w:val="0"/>
            <w:i/>
            <w:strike w:val="0"/>
            <w:noProof w:val="0"/>
            <w:color w:val="0077CC"/>
            <w:position w:val="0"/>
            <w:sz w:val="18"/>
            <w:u w:val="single"/>
            <w:shd w:val="clear" w:color="auto" w:fill="FFFFFF"/>
            <w:vertAlign w:val="baseline"/>
          </w:rPr>
          <w:t>http://cdss.state.</w:t>
        </w:r>
      </w:hyperlink>
      <w:hyperlink r:id="rId23" w:history="1">
        <w:r>
          <w:rPr>
            <w:rFonts w:ascii="arial" w:eastAsia="arial" w:hAnsi="arial" w:cs="arial"/>
            <w:b/>
            <w:i/>
            <w:strike w:val="0"/>
            <w:noProof w:val="0"/>
            <w:color w:val="0077CC"/>
            <w:position w:val="0"/>
            <w:sz w:val="18"/>
            <w:u w:val="single"/>
            <w:shd w:val="clear" w:color="auto" w:fill="FFFFFF"/>
            <w:vertAlign w:val="baseline"/>
          </w:rPr>
          <w:t>co</w:t>
        </w:r>
      </w:hyperlink>
      <w:hyperlink r:id="rId23" w:history="1">
        <w:r>
          <w:rPr>
            <w:rFonts w:ascii="arial" w:eastAsia="arial" w:hAnsi="arial" w:cs="arial"/>
            <w:b w:val="0"/>
            <w:i/>
            <w:strike w:val="0"/>
            <w:noProof w:val="0"/>
            <w:color w:val="0077CC"/>
            <w:position w:val="0"/>
            <w:sz w:val="18"/>
            <w:u w:val="single"/>
            <w:shd w:val="clear" w:color="auto" w:fill="FFFFFF"/>
            <w:vertAlign w:val="baseline"/>
          </w:rPr>
          <w:t>.us/onlineTools/Pages/WaterRights.aspx</w:t>
        </w:r>
      </w:hyperlink>
      <w:r>
        <w:rPr>
          <w:rFonts w:ascii="arial" w:eastAsia="arial" w:hAnsi="arial" w:cs="arial"/>
          <w:b w:val="0"/>
          <w:i w:val="0"/>
          <w:strike w:val="0"/>
          <w:noProof w:val="0"/>
          <w:color w:val="000000"/>
          <w:position w:val="0"/>
          <w:sz w:val="18"/>
          <w:u w:val="none"/>
          <w:vertAlign w:val="baseline"/>
        </w:rPr>
        <w:t xml:space="preserve"> (last visited Feb. 19, 2016) [hereinafter Support Sys.].</w:t>
      </w:r>
    </w:p>
  </w:footnote>
  <w:footnote w:id="1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Dep't of the Interior, Bureau of Land Mgmt., Geocommunicator, </w:t>
      </w:r>
      <w:hyperlink r:id="rId24" w:history="1">
        <w:r>
          <w:rPr>
            <w:rFonts w:ascii="arial" w:eastAsia="arial" w:hAnsi="arial" w:cs="arial"/>
            <w:b w:val="0"/>
            <w:i/>
            <w:strike w:val="0"/>
            <w:noProof w:val="0"/>
            <w:color w:val="0077CC"/>
            <w:position w:val="0"/>
            <w:sz w:val="18"/>
            <w:u w:val="single"/>
            <w:shd w:val="clear" w:color="auto" w:fill="FFFFFF"/>
            <w:vertAlign w:val="baseline"/>
          </w:rPr>
          <w:t>http://www.geo-communicator.gov/GeoComm/lsis_home/home</w:t>
        </w:r>
      </w:hyperlink>
      <w:r>
        <w:rPr>
          <w:rFonts w:ascii="arial" w:eastAsia="arial" w:hAnsi="arial" w:cs="arial"/>
          <w:b w:val="0"/>
          <w:i w:val="0"/>
          <w:strike w:val="0"/>
          <w:noProof w:val="0"/>
          <w:color w:val="000000"/>
          <w:position w:val="0"/>
          <w:sz w:val="18"/>
          <w:u w:val="none"/>
          <w:vertAlign w:val="baseline"/>
        </w:rPr>
        <w:t xml:space="preserve"> (last visited Feb. 19, 2016).</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w:t>
      </w:r>
    </w:p>
  </w:footnote>
  <w:footnote w:id="1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A at 1; </w:t>
      </w:r>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Dep't of the Interior, supra </w:t>
        </w:r>
      </w:hyperlink>
      <w:r>
        <w:rPr>
          <w:rFonts w:ascii="arial" w:eastAsia="arial" w:hAnsi="arial" w:cs="arial"/>
          <w:b w:val="0"/>
          <w:i w:val="0"/>
          <w:strike w:val="0"/>
          <w:noProof w:val="0"/>
          <w:color w:val="000000"/>
          <w:position w:val="0"/>
          <w:sz w:val="18"/>
          <w:u w:val="none"/>
          <w:vertAlign w:val="baseline"/>
        </w:rPr>
        <w:t xml:space="preserve">note 142. </w:t>
      </w:r>
    </w:p>
  </w:footnote>
  <w:footnote w:id="1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MATLAB, </w:t>
      </w:r>
      <w:hyperlink r:id="rId25" w:history="1">
        <w:r>
          <w:rPr>
            <w:rFonts w:ascii="arial" w:eastAsia="arial" w:hAnsi="arial" w:cs="arial"/>
            <w:b w:val="0"/>
            <w:i/>
            <w:strike w:val="0"/>
            <w:noProof w:val="0"/>
            <w:color w:val="0077CC"/>
            <w:position w:val="0"/>
            <w:sz w:val="18"/>
            <w:u w:val="single"/>
            <w:shd w:val="clear" w:color="auto" w:fill="FFFFFF"/>
            <w:vertAlign w:val="baseline"/>
          </w:rPr>
          <w:t>http://www.mathworks.com/products/matlab/?requestedDomain=www.mathworks.com</w:t>
        </w:r>
      </w:hyperlink>
      <w:r>
        <w:rPr>
          <w:rFonts w:ascii="arial" w:eastAsia="arial" w:hAnsi="arial" w:cs="arial"/>
          <w:b w:val="0"/>
          <w:i w:val="0"/>
          <w:strike w:val="0"/>
          <w:noProof w:val="0"/>
          <w:color w:val="000000"/>
          <w:position w:val="0"/>
          <w:sz w:val="18"/>
          <w:u w:val="none"/>
          <w:vertAlign w:val="baseline"/>
        </w:rPr>
        <w:t xml:space="preserve"> (last visited June 5, 2016) ("The MATLAB platform is optimized for solving engineering and scientific problems. The matrix-based MATLAB language is the world's most natural way to express computational mathematics.").</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A at 1. </w:t>
      </w:r>
    </w:p>
  </w:footnote>
  <w:footnote w:id="1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See infra Figure 3. </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See infra Table 1. </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See infra Figure 2. </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infra Figures 2-4; Tables 1-2. </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See infra Figure 1 (incorporating corrected latitude and longitude coordinates for Glacier Creek and Homestake Tunnel); compare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D at 40 (listing Glacier Creek's latitude and longitude coordinates as 3935.00 and 11544.00), at 98 (listing Homestake Tunnel's latitude and longitude coordinates as 7916.00 and 10623.00), with Lat-Long.com, </w:t>
      </w:r>
      <w:hyperlink r:id="rId26" w:history="1">
        <w:r>
          <w:rPr>
            <w:rFonts w:ascii="arial" w:eastAsia="arial" w:hAnsi="arial" w:cs="arial"/>
            <w:b w:val="0"/>
            <w:i/>
            <w:strike w:val="0"/>
            <w:noProof w:val="0"/>
            <w:color w:val="0077CC"/>
            <w:position w:val="0"/>
            <w:sz w:val="18"/>
            <w:u w:val="single"/>
            <w:shd w:val="clear" w:color="auto" w:fill="FFFFFF"/>
            <w:vertAlign w:val="baseline"/>
          </w:rPr>
          <w:t>http://www.lat-long.com/Latitude-Longitude-179818-</w:t>
        </w:r>
      </w:hyperlink>
      <w:hyperlink r:id="rId2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6" w:history="1">
        <w:r>
          <w:rPr>
            <w:rFonts w:ascii="arial" w:eastAsia="arial" w:hAnsi="arial" w:cs="arial"/>
            <w:b w:val="0"/>
            <w:i/>
            <w:strike w:val="0"/>
            <w:noProof w:val="0"/>
            <w:color w:val="0077CC"/>
            <w:position w:val="0"/>
            <w:sz w:val="18"/>
            <w:u w:val="single"/>
            <w:shd w:val="clear" w:color="auto" w:fill="FFFFFF"/>
            <w:vertAlign w:val="baseline"/>
          </w:rPr>
          <w:t>-Glacier_</w:t>
        </w:r>
      </w:hyperlink>
      <w:r>
        <w:rPr>
          <w:rFonts w:ascii="arial" w:eastAsia="arial" w:hAnsi="arial" w:cs="arial"/>
          <w:b w:val="0"/>
          <w:i w:val="0"/>
          <w:strike w:val="0"/>
          <w:noProof w:val="0"/>
          <w:color w:val="000000"/>
          <w:position w:val="0"/>
          <w:sz w:val="18"/>
          <w:u w:val="none"/>
          <w:vertAlign w:val="baseline"/>
        </w:rPr>
        <w:t xml:space="preserve"> Creek.html (last visited Mar. 19, 2016) (listing Glacier Creek's latitude and longitude coordinates as 39.283044 and -106.4380834), and Lat-Long.com, </w:t>
      </w:r>
      <w:hyperlink r:id="rId27" w:history="1">
        <w:r>
          <w:rPr>
            <w:rFonts w:ascii="arial" w:eastAsia="arial" w:hAnsi="arial" w:cs="arial"/>
            <w:b w:val="0"/>
            <w:i/>
            <w:strike w:val="0"/>
            <w:noProof w:val="0"/>
            <w:color w:val="0077CC"/>
            <w:position w:val="0"/>
            <w:sz w:val="18"/>
            <w:u w:val="single"/>
            <w:shd w:val="clear" w:color="auto" w:fill="FFFFFF"/>
            <w:vertAlign w:val="baseline"/>
          </w:rPr>
          <w:t>http://www.lat-long.com/Latitude-Longitude-179823-</w:t>
        </w:r>
      </w:hyperlink>
      <w:hyperlink r:id="rId2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7" w:history="1">
        <w:r>
          <w:rPr>
            <w:rFonts w:ascii="arial" w:eastAsia="arial" w:hAnsi="arial" w:cs="arial"/>
            <w:b w:val="0"/>
            <w:i/>
            <w:strike w:val="0"/>
            <w:noProof w:val="0"/>
            <w:color w:val="0077CC"/>
            <w:position w:val="0"/>
            <w:sz w:val="18"/>
            <w:u w:val="single"/>
            <w:shd w:val="clear" w:color="auto" w:fill="FFFFFF"/>
            <w:vertAlign w:val="baseline"/>
          </w:rPr>
          <w:t>-Homestake_Tunnel.html</w:t>
        </w:r>
      </w:hyperlink>
      <w:r>
        <w:rPr>
          <w:rFonts w:ascii="arial" w:eastAsia="arial" w:hAnsi="arial" w:cs="arial"/>
          <w:b w:val="0"/>
          <w:i w:val="0"/>
          <w:strike w:val="0"/>
          <w:noProof w:val="0"/>
          <w:color w:val="000000"/>
          <w:position w:val="0"/>
          <w:sz w:val="18"/>
          <w:u w:val="none"/>
          <w:vertAlign w:val="baseline"/>
        </w:rPr>
        <w:t xml:space="preserve"> (listing Homestake Tunnel's latitude and longitude coordinates as 39.3119324 and -106.4514172).</w:t>
      </w:r>
    </w:p>
  </w:footnote>
  <w:footnote w:id="15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See Support Sys., supra note 141. </w:t>
      </w:r>
    </w:p>
  </w:footnote>
  <w:footnote w:id="1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See id. </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Ground water, wells, and pumps all typically require energy input to produce water. Extracting energy from these sources would be a net loss of energy due to the Second Law of Thermodynamics, which states that an irreversible process is one that includes dissipative effects, or the presence of non-quasistatic processes. Because pumping water includes dissipative effects (e.g. friction in pump or turbine bearings) it is an irreversible process and cannot extract 100 percent of the energy available. In other words, a hydropower turbine (or any other means) cannot completely extract the energy imparted to the water by a pump. Therefore, I excluded these sources. For a description of the second law and irreversibility, see, e.g., Yunus A. Cengel &amp; Michael A. Boles, Thermodynamics, An Engineering Approach 257-62 (2d. ed. 1994). </w:t>
      </w:r>
    </w:p>
  </w:footnote>
  <w:footnote w:id="1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I excluded seeps and springs because they are unlikely to flow with sufficient velocity for hydropower production, and if one were to impound the water produced in order to attain sufficient potential energy or hydraulic head, the Decision Support System would include the water in a reservoir. </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See discussion supra in Part II. </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Other sources are available to estimate the hydropower potential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For instance,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Department of Agriculture published an extensive report in 2013 showing possible locations for small-scale hydropower on pressurized irrigation systems, ditch drops, and dams. However, the detailed site-specific information contained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was not available in these other sources. See, e.g.,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Dep't of Agric., Recommendations for Developing Agricultural Hydropower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3 (2013). </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See id.; Figure 1 infra. </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(published in 1994). </w:t>
      </w:r>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See, e.g., Water Project Loan Program,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(Mar. 22, 2016), </w:t>
      </w:r>
      <w:hyperlink r:id="rId28" w:history="1">
        <w:r>
          <w:rPr>
            <w:rFonts w:ascii="arial" w:eastAsia="arial" w:hAnsi="arial" w:cs="arial"/>
            <w:b w:val="0"/>
            <w:i/>
            <w:strike w:val="0"/>
            <w:noProof w:val="0"/>
            <w:color w:val="0077CC"/>
            <w:position w:val="0"/>
            <w:sz w:val="18"/>
            <w:u w:val="single"/>
            <w:shd w:val="clear" w:color="auto" w:fill="FFFFFF"/>
            <w:vertAlign w:val="baseline"/>
          </w:rPr>
          <w:t>http://cwcb.state.</w:t>
        </w:r>
      </w:hyperlink>
      <w:hyperlink r:id="rId28" w:history="1">
        <w:r>
          <w:rPr>
            <w:rFonts w:ascii="arial" w:eastAsia="arial" w:hAnsi="arial" w:cs="arial"/>
            <w:b/>
            <w:i/>
            <w:strike w:val="0"/>
            <w:noProof w:val="0"/>
            <w:color w:val="0077CC"/>
            <w:position w:val="0"/>
            <w:sz w:val="18"/>
            <w:u w:val="single"/>
            <w:shd w:val="clear" w:color="auto" w:fill="FFFFFF"/>
            <w:vertAlign w:val="baseline"/>
          </w:rPr>
          <w:t>co</w:t>
        </w:r>
      </w:hyperlink>
      <w:hyperlink r:id="rId28" w:history="1">
        <w:r>
          <w:rPr>
            <w:rFonts w:ascii="arial" w:eastAsia="arial" w:hAnsi="arial" w:cs="arial"/>
            <w:b w:val="0"/>
            <w:i/>
            <w:strike w:val="0"/>
            <w:noProof w:val="0"/>
            <w:color w:val="0077CC"/>
            <w:position w:val="0"/>
            <w:sz w:val="18"/>
            <w:u w:val="single"/>
            <w:shd w:val="clear" w:color="auto" w:fill="FFFFFF"/>
            <w:vertAlign w:val="baseline"/>
          </w:rPr>
          <w:t>.us/LoansGrants/water-project-loan-program/</w:t>
        </w:r>
      </w:hyperlink>
      <w:r>
        <w:rPr>
          <w:rFonts w:ascii="arial" w:eastAsia="arial" w:hAnsi="arial" w:cs="arial"/>
          <w:b w:val="0"/>
          <w:i w:val="0"/>
          <w:strike w:val="0"/>
          <w:noProof w:val="0"/>
          <w:color w:val="000000"/>
          <w:position w:val="0"/>
          <w:sz w:val="18"/>
          <w:u w:val="none"/>
          <w:vertAlign w:val="baseline"/>
        </w:rPr>
        <w:t xml:space="preserve"> Documents/ExampleProjectsFunded.pdf</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263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D at 6-7 (the assessment lists McDonough 2 with a raw power potential of 3 kW, and Blue Valley Ranch 3(2) with 5 kW). </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261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note1, at app. D at 1-251; Support Sys., supra note 141 (after inputting "Garner Creek," showingTidd's conditional water right at township 45 north, range 10 east, section 1). </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D at 1-251; Support Sys., supra note 141 (input land section). </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See infra Figures 1-3, Tables 1-2. </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See infra Figure 2. </w:t>
      </w:r>
    </w:p>
  </w:footnote>
  <w:footnote w:id="1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See id. </w:t>
      </w:r>
    </w:p>
  </w:footnote>
  <w:footnote w:id="1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See Support Sys., supra note 141 (input "power generation" for use and "reservoir: for structure type). </w:t>
      </w:r>
    </w:p>
  </w:footnote>
  <w:footnote w:id="1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265;</w:t>
        </w:r>
      </w:hyperlink>
      <w:r>
        <w:rPr>
          <w:rFonts w:ascii="arial" w:eastAsia="arial" w:hAnsi="arial" w:cs="arial"/>
          <w:b w:val="0"/>
          <w:i w:val="0"/>
          <w:strike w:val="0"/>
          <w:noProof w:val="0"/>
          <w:color w:val="000000"/>
          <w:position w:val="0"/>
          <w:sz w:val="18"/>
          <w:u w:val="none"/>
          <w:vertAlign w:val="baseline"/>
        </w:rPr>
        <w:t xml:space="preserve"> infra Figure 2. </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See infra Figure 2. </w:t>
      </w:r>
    </w:p>
  </w:footnote>
  <w:footnote w:id="1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See infra Figure 3. </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Water Division Four -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Judicial Branch, https://www. courts.state.</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.us/Courts/Water/Division.cfm?Water_Division_ ID=4 (last visited Feb. 20, 2016); Water Division Five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Judicial Branch, https://www.courts.state.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.us/Courts/Water/Division.cfm?Water_Division_ID=5 (last visited Feb. 20, 2016).</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See ibid.;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Division of Water Resources, </w:t>
      </w:r>
      <w:hyperlink r:id="rId29" w:history="1">
        <w:r>
          <w:rPr>
            <w:rFonts w:ascii="arial" w:eastAsia="arial" w:hAnsi="arial" w:cs="arial"/>
            <w:b w:val="0"/>
            <w:i/>
            <w:strike w:val="0"/>
            <w:noProof w:val="0"/>
            <w:color w:val="0077CC"/>
            <w:position w:val="0"/>
            <w:sz w:val="18"/>
            <w:u w:val="single"/>
            <w:shd w:val="clear" w:color="auto" w:fill="FFFFFF"/>
            <w:vertAlign w:val="baseline"/>
          </w:rPr>
          <w:t>http://www.water.state.</w:t>
        </w:r>
      </w:hyperlink>
      <w:hyperlink r:id="rId29" w:history="1">
        <w:r>
          <w:rPr>
            <w:rFonts w:ascii="arial" w:eastAsia="arial" w:hAnsi="arial" w:cs="arial"/>
            <w:b/>
            <w:i/>
            <w:strike w:val="0"/>
            <w:noProof w:val="0"/>
            <w:color w:val="0077CC"/>
            <w:position w:val="0"/>
            <w:sz w:val="18"/>
            <w:u w:val="single"/>
            <w:shd w:val="clear" w:color="auto" w:fill="FFFFFF"/>
            <w:vertAlign w:val="baseline"/>
          </w:rPr>
          <w:t>co</w:t>
        </w:r>
      </w:hyperlink>
      <w:hyperlink r:id="rId29" w:history="1">
        <w:r>
          <w:rPr>
            <w:rFonts w:ascii="arial" w:eastAsia="arial" w:hAnsi="arial" w:cs="arial"/>
            <w:b w:val="0"/>
            <w:i/>
            <w:strike w:val="0"/>
            <w:noProof w:val="0"/>
            <w:color w:val="0077CC"/>
            <w:position w:val="0"/>
            <w:sz w:val="18"/>
            <w:u w:val="single"/>
            <w:shd w:val="clear" w:color="auto" w:fill="FFFFFF"/>
            <w:vertAlign w:val="baseline"/>
          </w:rPr>
          <w:t>.us/</w:t>
        </w:r>
      </w:hyperlink>
      <w:r>
        <w:rPr>
          <w:rFonts w:ascii="arial" w:eastAsia="arial" w:hAnsi="arial" w:cs="arial"/>
          <w:b w:val="0"/>
          <w:i w:val="0"/>
          <w:strike w:val="0"/>
          <w:noProof w:val="0"/>
          <w:color w:val="000000"/>
          <w:position w:val="0"/>
          <w:sz w:val="18"/>
          <w:u w:val="none"/>
          <w:vertAlign w:val="baseline"/>
        </w:rPr>
        <w:t xml:space="preserve"> Home/PublishingImages/Map_CountiesAndDivs.gif (last visited Mar. 17, 2016) (showing that Mesa County straddles Gunnison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Basins); see also infra Table 1.</w:t>
      </w:r>
    </w:p>
  </w:footnote>
  <w:footnote w:id="1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See infra Table 1. </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D 1-251; Support Sys., supra note 141.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D 1-251; Mou, supra note 105, at 3; infra Figure 4. </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See Hydropower Regulatory Efficiency Act of 2013, Pub. L. No. 113-23,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 4 (2013);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D 1-251; Support Sys., supra note 141; infra Figure 4. </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D 1-251; Support Sys., supra note 141; infra Figure 4. </w:t>
      </w:r>
    </w:p>
  </w:footnote>
  <w:footnote w:id="1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Id. </w:t>
      </w:r>
    </w:p>
  </w:footnote>
  <w:footnote w:id="1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Id. </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Assessment supra note 87; Support Sys., supra note 113; see also supra Part IV(A). </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Assessment supra note 87; Support Sys., supra note 113. </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Assessment supra note 87; Support Sys., supra note 113. </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Assessment supra note 87; Support Sys., supra note 113. Note that undeveloped sites may qualify under the Efficiency Act, Hydropower Regulatory Efficiency Act of 2013, Pub. L. No. 113-23, </w:t>
      </w:r>
      <w:r>
        <w:rPr>
          <w:rFonts w:ascii="arial" w:eastAsia="arial" w:hAnsi="arial" w:cs="arial"/>
          <w:b/>
          <w:i/>
          <w:strike w:val="0"/>
          <w:noProof w:val="0"/>
          <w:color w:val="000000"/>
          <w:position w:val="0"/>
          <w:sz w:val="18"/>
          <w:u w:val="none"/>
          <w:vertAlign w:val="baseline"/>
        </w:rPr>
        <w:t>127 Stat. 493,</w:t>
      </w:r>
      <w:r>
        <w:rPr>
          <w:rFonts w:ascii="arial" w:eastAsia="arial" w:hAnsi="arial" w:cs="arial"/>
          <w:b w:val="0"/>
          <w:i w:val="0"/>
          <w:strike w:val="0"/>
          <w:noProof w:val="0"/>
          <w:color w:val="000000"/>
          <w:position w:val="0"/>
          <w:sz w:val="18"/>
          <w:u w:val="none"/>
          <w:vertAlign w:val="baseline"/>
        </w:rPr>
        <w:t xml:space="preserve"> § 4 (2013), and existing sites may qualify for further hydropower resource development under the MOU, MOU, supra note 85, at 3. </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Assessment supra note 87; Support Sys., supra note 113. </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Assessment supra note 87; Support Sys., supra note 113. </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v. Tidd, 349 P.3d 259, 272 (</w:t>
        </w:r>
      </w:hyperlink>
      <w:hyperlink r:id="rId1" w:history="1">
        <w:r>
          <w:rPr>
            <w:rFonts w:ascii="arial" w:eastAsia="arial" w:hAnsi="arial" w:cs="arial"/>
            <w:b/>
            <w:i/>
            <w:strike w:val="0"/>
            <w:noProof w:val="0"/>
            <w:color w:val="0077CC"/>
            <w:position w:val="0"/>
            <w:sz w:val="18"/>
            <w:u w:val="single"/>
            <w:shd w:val="clear" w:color="auto" w:fill="FFFFFF"/>
            <w:vertAlign w:val="baseline"/>
          </w:rPr>
          <w:t>Colo.</w:t>
        </w:r>
      </w:hyperlink>
      <w:hyperlink r:id="rId1" w:history="1">
        <w:r>
          <w:rPr>
            <w:rFonts w:ascii="arial" w:eastAsia="arial" w:hAnsi="arial" w:cs="arial"/>
            <w:b w:val="0"/>
            <w:i/>
            <w:strike w:val="0"/>
            <w:noProof w:val="0"/>
            <w:color w:val="0077CC"/>
            <w:position w:val="0"/>
            <w:sz w:val="18"/>
            <w:u w:val="single"/>
            <w:shd w:val="clear" w:color="auto" w:fill="FFFFFF"/>
            <w:vertAlign w:val="baseline"/>
          </w:rPr>
          <w:t xml:space="preserve"> 2015)</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Roaring Fork Club, L.P. v. St. Jude's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36 P.3d 1229, 1235 (</w:t>
        </w:r>
      </w:hyperlink>
      <w:hyperlink r:id="rId9" w:history="1">
        <w:r>
          <w:rPr>
            <w:rFonts w:ascii="arial" w:eastAsia="arial" w:hAnsi="arial" w:cs="arial"/>
            <w:b/>
            <w:i/>
            <w:strike w:val="0"/>
            <w:noProof w:val="0"/>
            <w:color w:val="0077CC"/>
            <w:position w:val="0"/>
            <w:sz w:val="18"/>
            <w:u w:val="single"/>
            <w:shd w:val="clear" w:color="auto" w:fill="FFFFFF"/>
            <w:vertAlign w:val="baseline"/>
          </w:rPr>
          <w:t>Colo.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 2001).</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Id. at 1235</w:t>
        </w:r>
      </w:hyperlink>
      <w:r>
        <w:rPr>
          <w:rFonts w:ascii="arial" w:eastAsia="arial" w:hAnsi="arial" w:cs="arial"/>
          <w:b w:val="0"/>
          <w:i w:val="0"/>
          <w:strike w:val="0"/>
          <w:noProof w:val="0"/>
          <w:color w:val="000000"/>
          <w:position w:val="0"/>
          <w:sz w:val="18"/>
          <w:u w:val="none"/>
          <w:vertAlign w:val="baseline"/>
        </w:rPr>
        <w:t xml:space="preserve"> (citing </w:t>
      </w:r>
      <w:hyperlink r:id="rId30" w:history="1">
        <w:r>
          <w:rPr>
            <w:rFonts w:ascii="arial" w:eastAsia="arial" w:hAnsi="arial" w:cs="arial"/>
            <w:b w:val="0"/>
            <w:i/>
            <w:strike w:val="0"/>
            <w:noProof w:val="0"/>
            <w:color w:val="0077CC"/>
            <w:position w:val="0"/>
            <w:sz w:val="18"/>
            <w:u w:val="single"/>
            <w:shd w:val="clear" w:color="auto" w:fill="FFFFFF"/>
            <w:vertAlign w:val="baseline"/>
          </w:rPr>
          <w:t>Gerrity Oil v. Magness, 946 P.2d 913, 927 (</w:t>
        </w:r>
      </w:hyperlink>
      <w:hyperlink r:id="rId30" w:history="1">
        <w:r>
          <w:rPr>
            <w:rFonts w:ascii="arial" w:eastAsia="arial" w:hAnsi="arial" w:cs="arial"/>
            <w:b/>
            <w:i/>
            <w:strike w:val="0"/>
            <w:noProof w:val="0"/>
            <w:color w:val="0077CC"/>
            <w:position w:val="0"/>
            <w:sz w:val="18"/>
            <w:u w:val="single"/>
            <w:shd w:val="clear" w:color="auto" w:fill="FFFFFF"/>
            <w:vertAlign w:val="baseline"/>
          </w:rPr>
          <w:t>Colo.</w:t>
        </w:r>
      </w:hyperlink>
      <w:hyperlink r:id="rId30" w:history="1">
        <w:r>
          <w:rPr>
            <w:rFonts w:ascii="arial" w:eastAsia="arial" w:hAnsi="arial" w:cs="arial"/>
            <w:b w:val="0"/>
            <w:i/>
            <w:strike w:val="0"/>
            <w:noProof w:val="0"/>
            <w:color w:val="0077CC"/>
            <w:position w:val="0"/>
            <w:sz w:val="18"/>
            <w:u w:val="single"/>
            <w:shd w:val="clear" w:color="auto" w:fill="FFFFFF"/>
            <w:vertAlign w:val="baseline"/>
          </w:rPr>
          <w:t xml:space="preserve"> 1997).</w:t>
        </w:r>
      </w:hyperlink>
      <w:r>
        <w:rPr>
          <w:rFonts w:ascii="arial" w:eastAsia="arial" w:hAnsi="arial" w:cs="arial"/>
          <w:b w:val="0"/>
          <w:i w:val="0"/>
          <w:strike w:val="0"/>
          <w:noProof w:val="0"/>
          <w:color w:val="000000"/>
          <w:position w:val="0"/>
          <w:sz w:val="18"/>
          <w:u w:val="none"/>
          <w:vertAlign w:val="baseline"/>
        </w:rPr>
        <w:t xml:space="preserve">  </w:t>
      </w:r>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Id. at 1235 (citing </w:t>
      </w:r>
      <w:hyperlink r:id="rId31" w:history="1">
        <w:r>
          <w:rPr>
            <w:rFonts w:ascii="arial" w:eastAsia="arial" w:hAnsi="arial" w:cs="arial"/>
            <w:b w:val="0"/>
            <w:i/>
            <w:strike w:val="0"/>
            <w:noProof w:val="0"/>
            <w:color w:val="0077CC"/>
            <w:position w:val="0"/>
            <w:sz w:val="18"/>
            <w:u w:val="single"/>
            <w:shd w:val="clear" w:color="auto" w:fill="FFFFFF"/>
            <w:vertAlign w:val="baseline"/>
          </w:rPr>
          <w:t>Lazy Dog Ranch v. Telluray Ranch Corp., 965 P.2d 1229, 1238 (</w:t>
        </w:r>
      </w:hyperlink>
      <w:hyperlink r:id="rId31" w:history="1">
        <w:r>
          <w:rPr>
            <w:rFonts w:ascii="arial" w:eastAsia="arial" w:hAnsi="arial" w:cs="arial"/>
            <w:b/>
            <w:i/>
            <w:strike w:val="0"/>
            <w:noProof w:val="0"/>
            <w:color w:val="0077CC"/>
            <w:position w:val="0"/>
            <w:sz w:val="18"/>
            <w:u w:val="single"/>
            <w:shd w:val="clear" w:color="auto" w:fill="FFFFFF"/>
            <w:vertAlign w:val="baseline"/>
          </w:rPr>
          <w:t>Colo.</w:t>
        </w:r>
      </w:hyperlink>
      <w:hyperlink r:id="rId31"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(further citation omitted). </w:t>
      </w:r>
    </w:p>
  </w:footnote>
  <w:footnote w:id="1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272</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MOU, supra note 105, at 3. </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272</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app. D at 1-251; Support Sys., supra note 141. See ibid.; supra Figures 1-3, Tables 1-2. See ibid.; supra Figures 1-3, Tables 1-2. </w:t>
      </w:r>
    </w:p>
  </w:footnote>
  <w:footnote w:id="19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261.</w:t>
        </w:r>
      </w:hyperlink>
      <w:r>
        <w:rPr>
          <w:rFonts w:ascii="arial" w:eastAsia="arial" w:hAnsi="arial" w:cs="arial"/>
          <w:b w:val="0"/>
          <w:i w:val="0"/>
          <w:strike w:val="0"/>
          <w:noProof w:val="0"/>
          <w:color w:val="000000"/>
          <w:position w:val="0"/>
          <w:sz w:val="18"/>
          <w:u w:val="none"/>
          <w:vertAlign w:val="baseline"/>
        </w:rPr>
        <w:t xml:space="preserve">  </w:t>
      </w:r>
    </w:p>
  </w:footnote>
  <w:footnote w:id="1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Id. </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268.</w:t>
        </w:r>
      </w:hyperlink>
      <w:r>
        <w:rPr>
          <w:rFonts w:ascii="arial" w:eastAsia="arial" w:hAnsi="arial" w:cs="arial"/>
          <w:b w:val="0"/>
          <w:i w:val="0"/>
          <w:strike w:val="0"/>
          <w:noProof w:val="0"/>
          <w:color w:val="000000"/>
          <w:position w:val="0"/>
          <w:sz w:val="18"/>
          <w:u w:val="none"/>
          <w:vertAlign w:val="baseline"/>
        </w:rPr>
        <w:t xml:space="preserve">  </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Unlike a traditional dam-based generator that relies on stored water, a run-of-the-</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generator requires no impoundment or little hydraulic head. Run-of-</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Power, Energy BC, </w:t>
      </w:r>
      <w:hyperlink r:id="rId32" w:history="1">
        <w:r>
          <w:rPr>
            <w:rFonts w:ascii="arial" w:eastAsia="arial" w:hAnsi="arial" w:cs="arial"/>
            <w:b w:val="0"/>
            <w:i/>
            <w:strike w:val="0"/>
            <w:noProof w:val="0"/>
            <w:color w:val="0077CC"/>
            <w:position w:val="0"/>
            <w:sz w:val="18"/>
            <w:u w:val="single"/>
            <w:shd w:val="clear" w:color="auto" w:fill="FFFFFF"/>
            <w:vertAlign w:val="baseline"/>
          </w:rPr>
          <w:t>http://www.energybc.ca/profiles/runofriver.html</w:t>
        </w:r>
      </w:hyperlink>
      <w:r>
        <w:rPr>
          <w:rFonts w:ascii="arial" w:eastAsia="arial" w:hAnsi="arial" w:cs="arial"/>
          <w:b w:val="0"/>
          <w:i w:val="0"/>
          <w:strike w:val="0"/>
          <w:noProof w:val="0"/>
          <w:color w:val="000000"/>
          <w:position w:val="0"/>
          <w:sz w:val="18"/>
          <w:u w:val="none"/>
          <w:vertAlign w:val="baseline"/>
        </w:rPr>
        <w:t xml:space="preserve"> (last visited Mar. 19, 2016). Instead, a run-of-the-</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generator relies on the kinetic energy of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water flowing past it. Id.</w:t>
      </w:r>
    </w:p>
  </w:footnote>
  <w:footnote w:id="19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265.</w:t>
        </w:r>
      </w:hyperlink>
      <w:r>
        <w:rPr>
          <w:rFonts w:ascii="arial" w:eastAsia="arial" w:hAnsi="arial" w:cs="arial"/>
          <w:b w:val="0"/>
          <w:i w:val="0"/>
          <w:strike w:val="0"/>
          <w:noProof w:val="0"/>
          <w:color w:val="000000"/>
          <w:position w:val="0"/>
          <w:sz w:val="18"/>
          <w:u w:val="none"/>
          <w:vertAlign w:val="baseline"/>
        </w:rPr>
        <w:t xml:space="preserve">  </w:t>
      </w:r>
    </w:p>
  </w:footnote>
  <w:footnote w:id="20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Id. at 265.</w:t>
        </w:r>
      </w:hyperlink>
      <w:r>
        <w:rPr>
          <w:rFonts w:ascii="arial" w:eastAsia="arial" w:hAnsi="arial" w:cs="arial"/>
          <w:b w:val="0"/>
          <w:i w:val="0"/>
          <w:strike w:val="0"/>
          <w:noProof w:val="0"/>
          <w:color w:val="000000"/>
          <w:position w:val="0"/>
          <w:sz w:val="18"/>
          <w:u w:val="none"/>
          <w:vertAlign w:val="baseline"/>
        </w:rPr>
        <w:t xml:space="preserve">  </w:t>
      </w:r>
    </w:p>
  </w:footnote>
  <w:footnote w:id="20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See Hydropower Regulatory Efficiency Act of 2013, Pub. L. No. 113-23, </w:t>
      </w:r>
      <w:r>
        <w:rPr>
          <w:rFonts w:ascii="arial" w:eastAsia="arial" w:hAnsi="arial" w:cs="arial"/>
          <w:b/>
          <w:i/>
          <w:strike w:val="0"/>
          <w:noProof w:val="0"/>
          <w:color w:val="000000"/>
          <w:position w:val="0"/>
          <w:sz w:val="18"/>
          <w:u w:val="none"/>
          <w:vertAlign w:val="baseline"/>
        </w:rPr>
        <w:t>127 Stat. 493 (2013);</w:t>
      </w:r>
      <w:r>
        <w:rPr>
          <w:rFonts w:ascii="arial" w:eastAsia="arial" w:hAnsi="arial" w:cs="arial"/>
          <w:b w:val="0"/>
          <w:i w:val="0"/>
          <w:strike w:val="0"/>
          <w:noProof w:val="0"/>
          <w:color w:val="000000"/>
          <w:position w:val="0"/>
          <w:sz w:val="18"/>
          <w:u w:val="none"/>
          <w:vertAlign w:val="baseline"/>
        </w:rPr>
        <w:t xml:space="preserve"> Bureau of Reclamation Small Conduit Hydropower Development and Rural Jobs Act, Pub. L. No. 113-24, </w:t>
      </w:r>
      <w:r>
        <w:rPr>
          <w:rFonts w:ascii="arial" w:eastAsia="arial" w:hAnsi="arial" w:cs="arial"/>
          <w:b/>
          <w:i/>
          <w:strike w:val="0"/>
          <w:noProof w:val="0"/>
          <w:color w:val="000000"/>
          <w:position w:val="0"/>
          <w:sz w:val="18"/>
          <w:u w:val="none"/>
          <w:vertAlign w:val="baseline"/>
        </w:rPr>
        <w:t>127 Stat. 498 (2013);</w:t>
      </w:r>
      <w:r>
        <w:rPr>
          <w:rFonts w:ascii="arial" w:eastAsia="arial" w:hAnsi="arial" w:cs="arial"/>
          <w:b w:val="0"/>
          <w:i w:val="0"/>
          <w:strike w:val="0"/>
          <w:noProof w:val="0"/>
          <w:color w:val="000000"/>
          <w:position w:val="0"/>
          <w:sz w:val="18"/>
          <w:u w:val="none"/>
          <w:vertAlign w:val="baseline"/>
        </w:rPr>
        <w:t xml:space="preserve"> MOU, supra note 105, at 2. </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Assessment, supra note 1, at 1; Figure 1 supra. </w:t>
      </w:r>
    </w:p>
  </w:footnote>
  <w:footnote w:id="20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See </w:t>
      </w:r>
      <w:hyperlink r:id="rId1" w:history="1">
        <w:r>
          <w:rPr>
            <w:rFonts w:ascii="arial" w:eastAsia="arial" w:hAnsi="arial" w:cs="arial"/>
            <w:b w:val="0"/>
            <w:i/>
            <w:strike w:val="0"/>
            <w:noProof w:val="0"/>
            <w:color w:val="0077CC"/>
            <w:position w:val="0"/>
            <w:sz w:val="18"/>
            <w:u w:val="single"/>
            <w:shd w:val="clear" w:color="auto" w:fill="FFFFFF"/>
            <w:vertAlign w:val="baseline"/>
          </w:rPr>
          <w:t>Frees, 349 P.3d at 272</w:t>
        </w:r>
      </w:hyperlink>
      <w:r>
        <w:rPr>
          <w:rFonts w:ascii="arial" w:eastAsia="arial" w:hAnsi="arial" w:cs="arial"/>
          <w:b w:val="0"/>
          <w:i w:val="0"/>
          <w:strike w:val="0"/>
          <w:noProof w:val="0"/>
          <w:color w:val="000000"/>
          <w:position w:val="0"/>
          <w:sz w:val="18"/>
          <w:u w:val="none"/>
          <w:vertAlign w:val="baseline"/>
        </w:rPr>
        <w:t xml:space="preserve"> (Marquez, J., dissenting). </w:t>
      </w:r>
    </w:p>
  </w:footnote>
  <w:footnote w:id="2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Id. (Marquez, J., dissenting).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NEW OPPORTUNITIES FOR SMALL-SCALE HYDROPOWER IN COLORADO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T9R-T2X2-D6RV-H374-00000-00&amp;context=1516831" TargetMode="External" /><Relationship Id="rId11" Type="http://schemas.openxmlformats.org/officeDocument/2006/relationships/hyperlink" Target="https://advance.lexis.com/api/document?collection=statutes-legislation&amp;id=urn:contentItem:8T9R-T352-D6RV-H379-00000-00&amp;context=1516831" TargetMode="External" /><Relationship Id="rId12" Type="http://schemas.openxmlformats.org/officeDocument/2006/relationships/hyperlink" Target="https://advance.lexis.com/api/document?collection=statutes-legislation&amp;id=urn:contentItem:8T9R-T372-8T6X-731R-00000-00&amp;context=1516831" TargetMode="External" /><Relationship Id="rId13" Type="http://schemas.openxmlformats.org/officeDocument/2006/relationships/hyperlink" Target="https://advance.lexis.com/api/document?collection=statutes-legislation&amp;id=urn:contentItem:8T9R-T3H2-D6RV-H37G-00000-00&amp;context=1516831" TargetMode="External" /><Relationship Id="rId14" Type="http://schemas.openxmlformats.org/officeDocument/2006/relationships/hyperlink" Target="https://advance.lexis.com/api/document?collection=statutes-legislation&amp;id=urn:contentItem:8S7X-DBF2-D6RV-H51N-00000-00&amp;context=1516831" TargetMode="External" /><Relationship Id="rId15" Type="http://schemas.openxmlformats.org/officeDocument/2006/relationships/hyperlink" Target="https://advance.lexis.com/api/document?collection=statutes-legislation&amp;id=urn:contentItem:8TJ7-MGK2-8T6X-73HY-00000-00&amp;context=1516831" TargetMode="External" /><Relationship Id="rId16" Type="http://schemas.openxmlformats.org/officeDocument/2006/relationships/hyperlink" Target="https://advance.lexis.com/api/document?collection=statutes-legislation&amp;id=urn:contentItem:8TJ7-MHR2-8T6X-73JM-00000-00&amp;context=1516831" TargetMode="External" /><Relationship Id="rId17" Type="http://schemas.openxmlformats.org/officeDocument/2006/relationships/hyperlink" Target="https://advance.lexis.com/api/document?collection=statutes-legislation&amp;id=urn:contentItem:8T9R-T3X2-8T6X-731X-00000-00&amp;context=1516831" TargetMode="External" /><Relationship Id="rId18" Type="http://schemas.openxmlformats.org/officeDocument/2006/relationships/hyperlink" Target="https://advance.lexis.com/api/document?collection=statutes-legislation&amp;id=urn:contentItem:8T9R-T4F2-D6RV-H37N-00000-00&amp;context=1516831" TargetMode="External" /><Relationship Id="rId19" Type="http://schemas.openxmlformats.org/officeDocument/2006/relationships/theme" Target="theme/theme1.xml" /><Relationship Id="rId2" Type="http://schemas.openxmlformats.org/officeDocument/2006/relationships/settings" Target="settings.xml" /><Relationship Id="rId20" Type="http://schemas.openxmlformats.org/officeDocument/2006/relationships/styles" Target="style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5M2M-3BN0-00SW-50N6-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cases&amp;id=urn:contentItem:5G44-FJC1-F04C-3080-00000-00&amp;context=1516831" TargetMode="External" /><Relationship Id="rId10" Type="http://schemas.openxmlformats.org/officeDocument/2006/relationships/hyperlink" Target="https://advance.lexis.com/api/document?collection=cases&amp;id=urn:contentItem:44PW-3160-0039-4363-00000-00&amp;context=1516831" TargetMode="External" /><Relationship Id="rId11" Type="http://schemas.openxmlformats.org/officeDocument/2006/relationships/hyperlink" Target="https://advance.lexis.com/api/document?collection=statutes-legislation&amp;id=urn:contentItem:61P5-WY01-DYDC-J38W-00000-00&amp;context=1516831" TargetMode="External" /><Relationship Id="rId12" Type="http://schemas.openxmlformats.org/officeDocument/2006/relationships/hyperlink" Target="https://advance.lexis.com/api/document?collection=cases&amp;id=urn:contentItem:3RX4-1Y50-003D-90XB-00000-00&amp;context=1516831" TargetMode="External" /><Relationship Id="rId13" Type="http://schemas.openxmlformats.org/officeDocument/2006/relationships/hyperlink" Target="https://advance.lexis.com/api/document?collection=cases&amp;id=urn:contentItem:451K-Y7N0-0039-40BG-00000-00&amp;context=1516831" TargetMode="External" /><Relationship Id="rId14" Type="http://schemas.openxmlformats.org/officeDocument/2006/relationships/hyperlink" Target="https://advance.lexis.com/api/document?collection=cases&amp;id=urn:contentItem:3RX4-02X0-003D-92Y7-00000-00&amp;context=1516831" TargetMode="External" /><Relationship Id="rId15" Type="http://schemas.openxmlformats.org/officeDocument/2006/relationships/hyperlink" Target="https://advance.lexis.com/api/document?collection=analytical-materials&amp;id=urn:contentItem:4JTY-CRJ0-00CV-N051-00000-00&amp;context=1516831" TargetMode="External" /><Relationship Id="rId16" Type="http://schemas.openxmlformats.org/officeDocument/2006/relationships/hyperlink" Target="https://advance.lexis.com/api/document?collection=cases&amp;id=urn:contentItem:3S4X-JGM0-0039-P4J8-00000-00&amp;context=1516831" TargetMode="External" /><Relationship Id="rId17" Type="http://schemas.openxmlformats.org/officeDocument/2006/relationships/hyperlink" Target="https://advance.lexis.com/api/document?collection=cases&amp;id=urn:contentItem:3S4X-1D70-006F-M0P3-00000-00&amp;context=1516831" TargetMode="External" /><Relationship Id="rId18" Type="http://schemas.openxmlformats.org/officeDocument/2006/relationships/hyperlink" Target="https://advance.lexis.com/api/document?collection=cases&amp;id=urn:contentItem:3RRR-2HY0-0040-01SJ-00000-00&amp;context=1516831" TargetMode="External" /><Relationship Id="rId19" Type="http://schemas.openxmlformats.org/officeDocument/2006/relationships/hyperlink" Target="https://advance.lexis.com/api/document?collection=statutes-legislation&amp;id=urn:contentItem:61P5-WY01-DYDC-J3G3-00000-00&amp;context=1516831" TargetMode="External" /><Relationship Id="rId2" Type="http://schemas.openxmlformats.org/officeDocument/2006/relationships/hyperlink" Target="http://www.eia.gov/renewable/" TargetMode="External" /><Relationship Id="rId20" Type="http://schemas.openxmlformats.org/officeDocument/2006/relationships/hyperlink" Target="https://advance.lexis.com/api/document?collection=cases&amp;id=urn:contentItem:4TVJ-8JX0-TXFN-N377-00000-00&amp;context=1516831" TargetMode="External" /><Relationship Id="rId21" Type="http://schemas.openxmlformats.org/officeDocument/2006/relationships/hyperlink" Target="https://advance.lexis.com/api/document?collection=analytical-materials&amp;id=urn:contentItem:58XD-88K0-00CT-T092-00000-00&amp;context=1516831" TargetMode="External" /><Relationship Id="rId22" Type="http://schemas.openxmlformats.org/officeDocument/2006/relationships/hyperlink" Target="https://advance.lexis.com/api/document?collection=statutes-legislation&amp;id=urn:contentItem:62NH-97S3-CH1B-T0H7-00000-00&amp;context=1516831" TargetMode="External" /><Relationship Id="rId23" Type="http://schemas.openxmlformats.org/officeDocument/2006/relationships/hyperlink" Target="http://cdss.state.co.us/onlineTools/Pages/WaterRights.aspx" TargetMode="External" /><Relationship Id="rId24" Type="http://schemas.openxmlformats.org/officeDocument/2006/relationships/hyperlink" Target="http://www.geo-communicator.gov/GeoComm/lsis_home/home" TargetMode="External" /><Relationship Id="rId25" Type="http://schemas.openxmlformats.org/officeDocument/2006/relationships/hyperlink" Target="http://www.mathworks.com/products/matlab/?requestedDomain=www.mathworks.com" TargetMode="External" /><Relationship Id="rId26" Type="http://schemas.openxmlformats.org/officeDocument/2006/relationships/hyperlink" Target="http://www.lat-long.com/Latitude-Longitude-179818-Colorado-Glacier_" TargetMode="External" /><Relationship Id="rId27" Type="http://schemas.openxmlformats.org/officeDocument/2006/relationships/hyperlink" Target="http://www.lat-long.com/Latitude-Longitude-179823-Colorado-Homestake_Tunnel.html" TargetMode="External" /><Relationship Id="rId28" Type="http://schemas.openxmlformats.org/officeDocument/2006/relationships/hyperlink" Target="http://cwcb.state.co.us/LoansGrants/water-project-loan-program/" TargetMode="External" /><Relationship Id="rId29" Type="http://schemas.openxmlformats.org/officeDocument/2006/relationships/hyperlink" Target="http://www.water.state.co.us/" TargetMode="External" /><Relationship Id="rId3" Type="http://schemas.openxmlformats.org/officeDocument/2006/relationships/hyperlink" Target="https://advance.lexis.com/api/document?collection=analytical-materials&amp;id=urn:contentItem:5CS1-DVW0-00CW-608Y-00000-00&amp;context=1516831" TargetMode="External" /><Relationship Id="rId30" Type="http://schemas.openxmlformats.org/officeDocument/2006/relationships/hyperlink" Target="https://advance.lexis.com/api/document?collection=cases&amp;id=urn:contentItem:3S4P-C0V0-0039-41XG-00000-00&amp;context=1516831" TargetMode="External" /><Relationship Id="rId31" Type="http://schemas.openxmlformats.org/officeDocument/2006/relationships/hyperlink" Target="https://advance.lexis.com/api/document?collection=cases&amp;id=urn:contentItem:3TP0-S310-0039-41R4-00000-00&amp;context=1516831" TargetMode="External" /><Relationship Id="rId32" Type="http://schemas.openxmlformats.org/officeDocument/2006/relationships/hyperlink" Target="http://www.energybc.ca/profiles/runofriver.html" TargetMode="External" /><Relationship Id="rId4" Type="http://schemas.openxmlformats.org/officeDocument/2006/relationships/hyperlink" Target="https://advance.lexis.com/api/document?collection=statutes-legislation&amp;id=urn:contentItem:61P5-WY01-DYDC-J3FN-00000-00&amp;context=1516831" TargetMode="External" /><Relationship Id="rId5" Type="http://schemas.openxmlformats.org/officeDocument/2006/relationships/hyperlink" Target="https://advance.lexis.com/api/document?collection=cases&amp;id=urn:contentItem:3RRR-30P0-0040-03G0-00000-00&amp;context=1516831" TargetMode="External" /><Relationship Id="rId6" Type="http://schemas.openxmlformats.org/officeDocument/2006/relationships/hyperlink" Target="https://advance.lexis.com/api/document?collection=cases&amp;id=urn:contentItem:3Y27-KN70-0039-40TN-00000-00&amp;context=1516831" TargetMode="External" /><Relationship Id="rId7" Type="http://schemas.openxmlformats.org/officeDocument/2006/relationships/hyperlink" Target="https://advance.lexis.com/api/document?collection=cases&amp;id=urn:contentItem:52GP-P931-652G-H018-00000-00&amp;context=1516831" TargetMode="External" /><Relationship Id="rId8" Type="http://schemas.openxmlformats.org/officeDocument/2006/relationships/hyperlink" Target="https://advance.lexis.com/api/document?collection=cases&amp;id=urn:contentItem:3RRR-34H0-0040-045D-00000-00&amp;context=1516831" TargetMode="External" /><Relationship Id="rId9" Type="http://schemas.openxmlformats.org/officeDocument/2006/relationships/hyperlink" Target="https://advance.lexis.com/api/document?collection=cases&amp;id=urn:contentItem:44GV-4230-0039-44Y0-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NEW OPPORTUNITIES FOR SMALL-SCALE HYDROPOWER IN COLORADO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5M2M-3BN0-00SW-50N6-00000-00">
    <vt:lpwstr>Doc::/shared/document|contextualFeaturePermID::1516831</vt:lpwstr>
  </property>
  <property fmtid="{D5CDD505-2E9C-101B-9397-08002B2CF9AE}" pid="5" name="UserPermID">
    <vt:lpwstr>urn:user:PA184731150</vt:lpwstr>
  </property>
</Properties>
</file>