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PAGOSA--THE GREAT AND GROWING CITIES DOCTRINE IMPERILED: AN OBJECTIVE LOOK FROM A BIASED PERSPECTIVE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2010</w:t>
      </w:r>
    </w:p>
    <w:p>
      <w:pPr>
        <w:keepNext w:val="0"/>
        <w:spacing w:after="0" w:line="240" w:lineRule="atLeast"/>
        <w:ind w:right="0"/>
        <w:jc w:val="both"/>
      </w:pPr>
      <w:bookmarkStart w:id="0" w:name="Bookmark_3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13 U. Denv. Water L. Rev. 283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20902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CASEY S. FUNK AND DANIEL J. ARNOLD*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are in-house counsel for the Denver Water Board, a home-rule governmental water provider for the City and County of Denver and surrounding communities. Currently, the Denver Water Board provides water service to approximately 1.3 million people, or roughly a quarter of the population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Pagosa Area Water &amp; Sanitation District v. Trout Unlimited ("Pagosa II"),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argument that governmental entities act in a legislative capacity when they make conditional water right appropriations; thus, the courts do not owe deference to these governmental agencies for the claimed amounts of water the agencies deem reasonably necessary for their future use.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Prior decisions acknowledged that courts should defer to a municipality's "managerial judgment" and the courts "should not intrude their own opinions to override the studied good-faith opinions of governmental agencies as to future needs of the public for facilities or commodities."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Despite this longstanding recognition for the need for flexibility in municipal water supply planning,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narrowly construed the limited governmental agency exception to the anti-speculation doctrine in order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"maximum utilization and optimum beneficial use goals."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court concluded that governmental agencies' conditional appropriations are not immune from judicial review under the proceedings and standards of the Water Rights Determination and Administration Act.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However, the court's conclusion arguably clashes with the General Assembly's statutory exemption from the anti-speculation statute.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Furthermore, the conclusion clashes with a governmental agency's legislative discretion, which law-makers recognize in a wide range of other matters, including ratemaking, annexation, and the exercise of police powers, such as decisions related to public safety, zoning, and the promotion of aesthetic values. Courts should be sensitive so as not to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"inappropriately infringe on the water management decisions of … municipal water officials;"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these decisions are just as or more important than other decisions that governmental agencies make for which they exercise legislative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whether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usurped the discretion that governmental agencies exercise when the court held, in Pagosa II, that governmental agencies must prove specific elements and factors when adjudicating new municipal water right appropriations. Examining the development of the great and growing cities doctrine as adopted in City &amp; County ofDenver v. Sheriff ("Sheriff"), this article next explores the evolution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and its growing tension with the great and growing cities doctrine. The article then reviews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decisions in Pagosa Area Water &amp; Sanitation Dist. v. Trout Unlimited ("Pagosa I") and Pagosa Area Water &amp; Sanitation Dist. v. Trout Unlimited ("Pagosa II") and the new municipal planning standards the court adopted. Ultimately, against this extensive background, the article argues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infringed on the legislative discretion of governmental agencies by specifically requiring the water courts to assess the reasonableness of certain "factors" historically reserved for government decision-making.</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GREAT AND GROWING CITIES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Denver Water Board and the Moffat Water Tunnel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1919 conditional water right statute,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Denver Water Board filed a petition with the Grand County District Court to adjudicate its claim for the maximum amount of water (1,280 cubic feet per second ("cfs")) that could be carried from a collection system on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10.5 foot pioneer bore of the Moffat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Railroad Tunnel for municipal and irrigation purposes.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Through the decree, the trial court imposed restrictive conditions to prevent any sale, lease, or alienation of Denver's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guarded "against the City of Denver going into the business of selling water or disposing of a part or all of her present water rights and substituting the water acquired or to be acquired in this proceeding for her present water supply."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struck this provision. It confirmed that Denver's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are property rights and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city, for some legitimate reason, desired to abandon or sell any of its Eastern Slope water, it would, by so doing, and under these restrictions, jeopardize its water rights on the Western Slope. The furnishing of an adequate supply of water to 350,000 people requires managerial judgment and involves an ever-changing problem. To so freeze and straight-jacket the city's Eastern Slope water rights, by the restrictions involved here, would be an arbitrary invasion of vested property rights of the city.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only courts that had originally adjudicated Denver Water Board's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have jurisdiction to construe or modify Denver Water Board's South Platte decrees.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Thus, the court concluded that a trial court on the western slope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did not have jurisdiction to impose the restrictions on Denver's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Finally, the court held: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water had been applied beneficially by the city, as the court found relative to the 335 cubic feet, it became the property of the city of Denver, and any such water for which there may at any given time in the future be no immediate need, may be temporarily leased by the city, in accordance with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section 31-35-201 of the </w:t>
        </w:r>
      </w:hyperlink>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w:t>
        </w:r>
      </w:hyperlink>
      <w:hyperlink r:id="rId11" w:history="1">
        <w:r>
          <w:rPr>
            <w:rFonts w:ascii="arial" w:eastAsia="arial" w:hAnsi="arial" w:cs="arial"/>
            <w:b/>
            <w:i/>
            <w:strike w:val="0"/>
            <w:noProof w:val="0"/>
            <w:color w:val="0077CC"/>
            <w:position w:val="0"/>
            <w:sz w:val="20"/>
            <w:u w:val="single"/>
            <w:shd w:val="clear" w:color="auto" w:fill="FFFFFF"/>
            <w:vertAlign w:val="baseline"/>
          </w:rPr>
          <w:t> [*287] </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Statutes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the contention that Denver Water Board had no immediate need for the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established what became the "longstanding"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great and growing cities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concern of the city is to assure an adequate supply to the public which it serves. In establishing a beneficial use of water under such circumstances the factors are not as simple and are more numerous than the application of water to 160 acres of land used for agricultural purposes. A specified tract of land does not increase in size, but populations do, and in short periods of time. With that flexibility in mind, it is not speculation but the highest prudence on the part of the city to obtain appropriations of water that will satisfy the needs resulting from a normal increase in population within a reasonable period of time.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Inherent in this doctrine is the principle of economies of scale. Rather than continually building new pipes and conduits each time a demand comes on the system, one may size the pumps and pipelines at the time of design to accommodate future growth.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As State Deptartment of Ecology v. Theodoratus describes the doctrine: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communities doctrine serves important functions. It allows communities to secure a source of water to meet growing needs. It also allows a community to construct a properly scaled water system at the start rather than constantly expanding the system on a piece-meal basis to meet growing population. The realities of business life and common sense come into play as well. The pumps and pipes method "serves important purposes: it allows municipalities to rationally plan and provide for future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 a practical reality, it is impossible for a municipality simply to tack on infrastructure and water rights year by year as its needs grow. Instead, municipalities typically plan one or two decades ahead, or more. The infrastructure required to serve a city cannot gradually be sized up. Pipes, treatment facilities and other components must be sized at the time of design to meet growing needs over time. Likewise, in order to carry out its responsibility to its citizens, the city must acquire water rights of sufficient size to meet those growing demands. Waiting until the last minute to acquire water rights for a growing community would be the height of irresponsibility. </w:t>
      </w:r>
      <w:r>
        <w:rPr>
          <w:rFonts w:ascii="arial" w:eastAsia="arial" w:hAnsi="arial" w:cs="arial"/>
          <w:vertAlign w:val="superscript"/>
        </w:rPr>
        <w:footnoteReference w:customMarkFollows="1" w:id="20"/>
        <w:t xml:space="preserve">19</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Denver Water Board and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1942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in Summit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Denver Water Board claimed 1600 cfs of water from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both for storage in Dillon Reservoir and direct diversion through the twenty-three mile Roberts Tunnel, which conveys water underneath the continental divide to the Denver Metropolitan Area.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That water diversion discharges into the North Fork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town of Grant, where the water flows to the Denver Water Board's municipal intakes.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Denver Water Board's claim for 1600 cfs with a priority date of March 21, 1914, the trial court awarded a conditional decree with an appropriation date of June 24, 1946, for only 788 cfs.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Denver Water Board appealed, and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protested Denver's appropriation claiming that the Denver Water Board had an adequate supply of water and did not have an immediate need for the amount claimed.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City &amp; County of Denver v.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hold that a city more than others is entitled to decree for water beyond its own needs. However, an appropriator has a reasonable time in which to effect his originally intended use as well as to complete his originally intended means of diversion, and when appropriations are sought by a growing city, regard should be given to its reasonably anticipated requirements … . Particularly is this true in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considering claims for conditional decrees.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Dismissing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argument, the court found that both parties presented witnesses "as to Denver's future water requirements," and although they "were not in agreement, there was substantial evidence to support a finding of future need for water from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a reasonable time."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court concluded that "this [was] amply confirmed by the City's rapid subsequent growth."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1950s,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adhered strictly to the great and growing cities doctrine in cases regarding governmental agencies appropriating future water supplies. In Metropolitan Suburban Water Users Ass'n.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("Metropolitan Suburban"),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that the trial court inappropriately overrode the "studied good-faith opinions of governmental agencies as to future needs… ." when it denied various governmental agencies' claims for water for future use.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of 1956, the Metropolitan Suburban Water Users Association ("Association"),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cities of Aurora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which are located adjacent to and south of Denver respectively, petitioned the District Court of Eagle County to adjudicate pending claims for water rights in Water District 37.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These parties all claimed conditional water rights to divert waters of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Homestake Tunnel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After the supplemental general adjudication commenced,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filed a claim on November 14, 1956, for the Red Cliff Project, which consisted of a system of reservoirs, ditches, power conduits, and other facilities that would divert water on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including Homestake Creek.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January 1957, the Denver Water Board filed a claim to divert waters of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proposed Vail Pass Tunnel to Dillon Reservoir, a storage reservoir that is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part of the Roberts Tunnel Collection System.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Additionally, in 1956, the City of Pueblo filed a claim to divert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Otero Tennessee Pass Ditch.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opposed the claims of the Association,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Aurora, and Denver Water Board claiming that the appropriations were speculative and not based on any reasonably anticipated needs.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With the exception of the City of Pueblo's claim, the trial court denied the claims of the Association,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Aurora, the Denver Water Board,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in part because the projects were speculative.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Association's claim for the Homestake Project,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the trial court based upon Section 6, Article XVI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the 1919 conditional water right statute.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that in planning for a reasonable municipal water supply, municipalities should make provisions for an adequate supply in years of minimum runoff and maximum consumption, which was the case during the drought of 1954.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As to the trial court's apprehension that the projects were speculative,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again referred to the safeguards in the 1919 conditional water right statute and Taussig v. Moffat Tunnel Development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that no final decree can be awarded until the water is actually put to beneficial use.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Based on the record before it, the court further found that Aurora's current water supply was "wholly inadequate to meet its present needs, most of which are being supplied on a year-to-year basis by Denver."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court reasoned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can at any time refuse to renew its one-year contract and can,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even during the term of its contract, limit Aurora's supply if needed in Denver. Aurora is at the mercy of Denver for its present water needs. Testimony as to its probable enhanced future needs due to population growth and increased per capita uses is convincing and uncontradicted.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gave the 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even greater leeway in defining its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evidence with reference to the water needs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does not disclose as bleak a picture as that of Aurora. However, it does disclose good reason for adding to its supply to guard against shortages arising in dry years and in contemplation of increased future needs.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appeal regarding the trial court's denial of the Red Cliff Project,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the trial court and determined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act of filing a claim for the Red Cliff Project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opposition to other claims was sufficient due diligence to initiate the appropriation.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As to the speculative nature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project,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admonished the trial court for substituting its judgment for that of those charged with the duty of supplying adequate water for municipalities and other public bodies.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the trial court on the Denver Water Board's claim for the extension of its Roberts Tunnel Collection System. The court concluded that the trial court's findings concerning the absence of proof of need and the speculative nature of the project "are all matters of opinion and concerning which there must be definite proof in the future."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Having stated this, the court reiterated "courts should not intrude their own opinions to override the studied good-faith opinions of governmental agencies as to future needs of the public for facilities or commodities."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a governmental agency could: (1) make an appropriation based upon the maximum amount for its reasonably anticipated needs including areas outside it boundaries; (2) lease surplus waters in excess of its immediate needs outside its municipal boundaries; and (3) base its need for an appropriation on the need for an adequate supply in a dry year such as 1954. In addition, courts gave deference to the managerial judgment of these governmental agencies in their operation of municipal water system. Then in 1969, things began to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[*292]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PRIVATE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Water Right Determination and Administration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1968,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Legislative Council directed the state division of natural resources to study and draft legislation concerning the following water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investigate relationships in the areas where intermingled surface and ground water are commonly used in conjunction with each other on the same lands, or lands immediately adjoining, for the same purpose of irrigation; to determine the need for and content of legislation that would provide for integrated administration of all diversions and uses of water within the state; protect all vested water rights, conserve water resources for maximum beneficial use, and permit full utilization of all waters in the state…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draft legislation was to be ready when the General Assembly convened in January of 1969 because "the maximum use of water in the state is the dominant factor for the future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solution of water matters is crucial to this end."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1969, the General Assembly adopted the Water Right Determination and Administration Act of 1969 ("1969 Act").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1969 Act modified the method of adjudicating water rights,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created water courts,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expanded the involvement of the state engineer in the establishment and administration of water rights,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and most importantly, articulated new policies to encourage the maximum utilization of the state's scarce resources.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Under the 1969 Act, the General Assembly defined appropriation as "the diversion of a certain portion of the waters of the state and the application of the same to a beneficial use."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It defined beneficial use as "the use of that amount of water that is reasonable and appropriate under reasonably efficient practices to accomplish without waste the purpose for which the appropriation is lawfully made … ."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1969 Act made no reference to "speculation," nor did it require proof of specific factors for a municipal conditional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Huston Case: A Precursor to the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City of Thornton v. Bijou Irrigation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cited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Vidler Tunnel Company ("Vidler"), as the seminal case defining the anti-speculation doctrine.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Interestingly, the Vidler anti-speculation doctrine could also have been named the Huston doctrine as the Court issued both opinions within a span of one week.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the year 1978, John Huston, Allan Leaffer and Wallace Yaffe ("Joint Venturers") and Nedlog Technological Group,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Pacific Energy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Pacific Aztec, and Bob Johnston, Jr. filed over 100 separate applications involving claims for thousands of wells and over twenty million acre-feet of underground water rights in all seven water divisions in the state.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Southeastern, Northern, and Southwestern Water Conservation Districts, along with the State Engineer, successfully petitioned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consolidate the applications for determination of common questions of law.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assigned a special water judge to determine the common questions of law including the threshold question of whether non-tributary 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subject to appropriation.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Another question before the court was whether non-tributary waters outside the boundaries of designated ground water basins could be appropriated by persons having no property interest in the surface, or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for use by persons other than the claimant or those whom the claimant is authorized to represent.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question whether the applications were speculative,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remarked: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held that a claim to surface water rights cannot be predicated solely upon speculative purposes … . This court shortly will announce its opinion in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hyperlink r:id="rId13" w:history="1">
        <w:r>
          <w:rPr>
            <w:rFonts w:ascii="arial" w:eastAsia="arial" w:hAnsi="arial" w:cs="arial"/>
            <w:b/>
            <w:i/>
            <w:strike w:val="0"/>
            <w:noProof w:val="0"/>
            <w:color w:val="0077CC"/>
            <w:position w:val="0"/>
            <w:sz w:val="20"/>
            <w:u w:val="single"/>
            <w:shd w:val="clear" w:color="auto" w:fill="FFFFFF"/>
            <w:vertAlign w:val="baseline"/>
          </w:rPr>
          <w:t>River</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Water Conservation District v. Vidler Tunnel </w:t>
        </w:r>
      </w:hyperlink>
      <w:hyperlink r:id="rId13" w:history="1">
        <w:r>
          <w:rPr>
            <w:rFonts w:ascii="arial" w:eastAsia="arial" w:hAnsi="arial" w:cs="arial"/>
            <w:b/>
            <w:i/>
            <w:strike w:val="0"/>
            <w:noProof w:val="0"/>
            <w:color w:val="0077CC"/>
            <w:position w:val="0"/>
            <w:sz w:val="20"/>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594 P.2d 566,</w:t>
        </w:r>
      </w:hyperlink>
      <w:r>
        <w:rPr>
          <w:rFonts w:ascii="arial" w:eastAsia="arial" w:hAnsi="arial" w:cs="arial"/>
          <w:b w:val="0"/>
          <w:i w:val="0"/>
          <w:strike w:val="0"/>
          <w:noProof w:val="0"/>
          <w:color w:val="000000"/>
          <w:position w:val="0"/>
          <w:sz w:val="20"/>
          <w:u w:val="none"/>
          <w:vertAlign w:val="baseline"/>
        </w:rPr>
        <w:t xml:space="preserve"> (1979), which deals with the question. The water judge will have the guidance of those cases in addressing the related question of whether non-tributary waters outside the boundaries of a designated ground water basin can be appropriated except for use by the respondents or others whom the respondents are authorized to represent.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week later,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issued the Vidler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Vidler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1975, Herbert T. Young's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Vidler Tunnel Water Company ("Vidler") filed an application under the 1969 Act for a 156,238 acre-feet storage right for Sheephorn Reservoir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Gore Canyon near the Town of Kremmling.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Vidler planned to use 2,000 acre-feet to irrigate lands it owned or leased; the City of Golden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had an option to purchase 2,000 acre-feet with a right of first refusal for an additional 3,000 acre-feet, all conditioned on the success of the project. Vidler planned to sell the remainder of the yield to various Front Range municipalities based upon studies of future need in the Front Range.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Notwithstanding the lack of any committed end use for the water on the Front Range, Water Division No. 5 District Court Judge George Lohr granted a conditional water storage decree for the appropriation.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however, except for the amount needed to irrigate lands Vidler owned,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and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constitution guarantees a right to appropriate, not a right to speculate. The right to appropriate is for use, not merely for profit. As we read our constitution and statutes, they give no one the right to preempt the development potential of water for the anticipated future use of others not in privity of contract, or in any agency relationship, with the developer regarding that use. To recognize conditional decrees grounded on no interest beyond a desire to obtain water for sale would - as a practical matter - discourage those who have need and use for the water from developing it. Moreover, such a rule would encourage those with vast monetary resources to monopolize, for personal profit rather than for beneficial use, whatever unappropriated water remains.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holding established the Vidler anti-speculation doctrine. Under this doctrine, the element of intent to appropriate cannot be satisfied if there is no intent to place the water to an actual beneficial use.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Vidler stood out as a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judicial precedent and a turning point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insofar as private water speculators were concerned. Nevertheless, several decades later, in City of Thornton v. Bijou,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attempted to firm up the underpinning of the Vidler decision.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Justice Lohr, whose decision to grant Vidler its appropriation was overturned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cited City &amp; County of Denver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("Denver v. CRWCD") and Rocky Mountain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("Rocky Mountain"), for the proposition that the anti-speculation doctrine was not a new legal requirement but rather that it followed "longstanding"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Both cases, however,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were decided after Vidler. Circularly, Denver v. CRWCD cited to Rocky Mountain, and Rocky Mountain also quoted Vidler for the "longstanding view that conditional decrees will not be granted to those who cannot show more than a speculative or conjectural future beneficial use."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discrepancy may lead some to wonder, whether the "longstanding" view of the anti-speculation doctrine prior to Vidler was that expressed by Judge Lohr when he granted Vidler the decree for Sheephorn Mountain Reservoir, or whether the "longstanding" view of anti-speculation changed after the enactment of the 1969 Act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in Rocky Mountain?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1979 Amendment to the 1969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1979, on the heels of Vidler and Huston I, the General Assembly amended the definition of "appropriation" in the 1969 Act.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General Assembly amended the definition of appropriation in 1979 to endorse the Vidler intent requirement.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However, the "legislation also recognized the need for a more flexible anti-speculation requirement that would allow government agencies planning flexibility, the "great and growing cities' concept that had earlier been recognized in City &amp; County of Denver v. Sheriff … . and City &amp; County of Denver v.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1979 Amendment to the 1969 Act revised the definition of "appropriation"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 "Appropriation" means the application of a specified portion of the waters of the state to a beneficial use pursuant to the procedures prescribed by law; but no appropriation of water, either absolute or conditional, shall be held to occur when the proposed appropriation is based upon the speculative sale or transfer of the appropriative rights to persons not parties to the proposed appropriation, as evidenced by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purported appropriator of record does not have either a legally vested interest or a reasonable expectation of procuring such interest in the lands or facilities to be served by such appropriation, unless such appropriator is a governmental agency or an agent in fact for the persons proposed to be benefited by such appropriation.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purported appropriator of record does not have a specific plan and intent to divert, store, or otherwise capture, possess, and control a specific quantity of water for specific beneficial uses.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amending the definition of appropriation, the General Assembly reaffirmed the anti-speculation holding of Vidler to respond to the Huston filings."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However, the Amendment also exempted governmental agencies from the requirement of having a legally vested interest in the lands or facilities that the appropriation serves.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This change had the effect of creating a distinction between private appropriators and governmental agencies. Under the statutory definition, a private appropriator must have a legally vested interest or a reasonable expectation of procuring such interest in the lands or facilities the appropriation serves, but there is no such requirement for a governmental agency.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statute only requires a governmental agency to have a specific plan and intent to divert, store, or otherwise capture, possess, and control a specific quantity of water for specific beneficial uses.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governmental exception is not conditioned upon whether the government acts in a proprietary function, whether it has a conservation plan, whether its per capita consumption is reasonably attainable, whether the amount of consumptive use is reasonably necessary to serve the increased population, or when the water must be placed to beneficial use.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Thus, under the 1979 amendment, the General Assembly exempted governments unconditionally from the requirement of having either a legally vested interest or a reasonable expectation of procuring such interest in the lands or facilities the appropriation serves, notwithstanding the doctrine of maximum utilization.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So theoretically, as long as a governmental agency has a specific plan of providing service, it should not need firm contractual commitments with those it intends to serve, even if its future customers are outside its governmental boundaries.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Huston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complete the story of the attempted water grab by the entrepreneurs John H. Huston, Wallace Yaffe, and Allan Leaffer, the special water judge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appointed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nontributary ground water outside designated ground water basins can be appropriated for the use of persons other than the claimant so long as the claim is not speculative under the guidelines of our prior cases, notably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 Bunger v. Uncompahgre Valley Water Users Ass'n … and Taussig v. Moffat Tunnel Water &amp; Development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however, the court determined that nontributary ground water was not subject to appropriation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or under the 1969 Act and dismissed the applications.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As to the trial judge's ruling regarding the Vidler test,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declined to offer an advisory opinion "because of the impossibility of foreseeing and providing for every possible type of arrangement between applicants and landowners or between applicants and users of the water."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later applied the Vidler anti-speculation test to nontributary water in a designated groundwater basin,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and to designated basin ground waters in the aquifers of the Denver Basin.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However, in East Cherry Creek Valley Water &amp; Sanitation District v. Rangeview Metropolitan District,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since the appropriation doctrine did not apply to nontributary ground waters outside designated basins, neither did the anti-speculation doctrine.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concluded that under Senate Bill 5, the legislature specifically intended "to permit adjudications for future uses without a corresponding obligation to develop them,"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unlike the statutory scheme for designated ground water, which did "not evince any intent to permit adjudication of a use right without plans for development and use of the resource."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[*299] </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POST VIDLER MUNICIPAL EXCEPTION TO THE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Denver Water Board's Piney, Straight Creek and Eagle-</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City &amp; County of Denver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Justice Lohr again applied the Vidler doctrine to a governmental agency application in apparent disregard of the 1979 statutory exemption.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Denver v. CRWCD, the Denver Water Board filed statements of claim in 1968 and 1971 for conditional water rights for Straight Creek (a tributary to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Piney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the Eagle-</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Collection System.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1972, the Denver Water Board put on evidence that it anticipated that it would serve a 1,000 square mile area in the Denver Metropolitan Area.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water court appointed a referee who made extensive factual findings, including ones that the appropriation was solely for use outside the municipal boundaries of Denver; that such use is of some benefit to the residents of Denver; and the claimed amounts come from projected future population growth in the Denver Metropolitan Area.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However, the referee entered an interlocutory decree denying the Denver Water Board's claims concluding that the Denver Water Board was without legal authority or capacity to appropriate water solely for use outside its municipal boundaries.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Thus, the Denver Water Board could not have formed the requisite intent for a valid appropriation.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Accordingly, the water judge approved and confirmed the interlocutory decree.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the water court and held that the Denver Water Board did have the constitutional and statutory authority to make an appropriation for use outside the city boundaries.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As a matter of local concern, Denver's Charter under section 6 Article XX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Constitution authorized the Denver Water Board to provide water outside its boundaries.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determined, however, that Denver acts in its "proprietary capacity" when providing water outside its boundaries, thus triggering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review of whether, as a matter of statewide concern, the state had authorized such appropriations.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Nonetheless,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concluded the General Assembly had expressly authorized this extraterritorial water service by statute and reversed the water court.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finding that Denver acts in a proprietary capacity when it serves water extraterritorially,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evidence of firm contractual commitments was missing and remanded the case back to the water court to take evidence on the 1979 Vidler doctrine.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court noted there was no evidence that the water court, the parties, or the amicus considered the application of Vidler to the claims.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However, the opinion did not explain why the court did not consider the application of the statutory exemption. That would come later from Justice Lohr in Bijou.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disregarding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section 37-92-103 of the </w:t>
        </w:r>
      </w:hyperlink>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formulated the following anti-speculation test specifically for the Denver Water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could not have formed the necessary intent to appropriate any particular amount of water for use until it had plans to use that water within its own boundaries, firm contractual commitments to supply that water to users outside its boundaries, or agency relationships with such users, evidence must be taken and a finding made as to the amount of the claimed water, if any, that is committed by contract or agency agreement and on what dates those commitments came into existence.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City of Thornton's Northern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1986, the City of Thornton filed for conditional water rights for a water supply project that would yield up to 67,000 acre-feet in three phases over 70 years.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Thornton provided evidence that its supply was 26,000 acre-feet, and it anticipated needing 93,000 acre-feet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to serve a projected population of 379,000 by the year 2056.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Thornton's projections of growth included areas not within its present city limits.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water court confirmed Thornton's projections were "optimistic"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but not speculative.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the City of Fort Collins appealed on numerous grounds. On the issue of need, they argued Thornton's plan violated the anti-speculation doctrine because it failed to prove it had firm contractual commitments or agency relationships for water service outside its boundaries.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Vidler involved a private corporation,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re-examined Sheriff and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determine if the anti-speculation doctrine applied to municipalities.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court concluded that Sheriff "clearly counsels against a strict application of the anti-speculation doctrine to municipalities seeking to provide for the future needs of their constituents," and under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city may appropriate water for its future needs without violating the prohibition on speculation so long as the amount of the appropriation is in line with the city's "reasonably anticipated requirements.'"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Since Vidler involved a private corporation, the requirement of firm contractual commitments or agency relationships did not apply with equal force to municipalities.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General Assembly's action in 1979 supported this limited exception to the Vidler requirements but did not completely immunize municipal applicants from speculation challenges.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offered this construction of the municipal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37-92-103(3)(a), a municipality may be decreed conditional water rights based solely on its projected future needs, and without firm contractual commitments or agency relationships, but a municipality's entitlement to such a decree is subject to the water court's determination that the amount conditionally appropriated is consistent with the municipality's reasonably anticipated requirements based on substantiated projections of future growth. </w:t>
      </w:r>
      <w:r>
        <w:rPr>
          <w:rFonts w:ascii="arial" w:eastAsia="arial" w:hAnsi="arial" w:cs="arial"/>
          <w:vertAlign w:val="superscript"/>
        </w:rPr>
        <w:footnoteReference w:customMarkFollows="1" w:id="121"/>
        <w:t xml:space="preserve">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explained that this construction of the municipal anti-speculation doctrine was consistent with cases decided after the enactment of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section 37-92-103 of the </w:t>
        </w:r>
      </w:hyperlink>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however, the doctrine was not consistent with the holding in Denver v. CRWCD, which brings us to the Not Non-Non-Speculation Doctrine.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Exception to the Exception to the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Bijou,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("Northern") argued that the City of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Thornton, under Denver v. CRWCD, must comply with the Vidler test even though the City of Thornton was a governmental entity entitled to the municipal exception.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Northern argued that the word "boundaries," as Denver v. CRWCD applied it, meant the city's boundaries at the time of the application, rather than the reasonably anticipated future boundaries of the municipal applicant.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Thus, Northern contended that the holding in Denver v. CRWCD precludes municipalities from appropriating water based on projected requirements for future growth areas outside the current municipal boundaries.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if a city could only plan for use within existing boundaries, it would remove municipal flexibility to plan for future water needs and undercut its previous decisions in Sheriff and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So the court backtracked in Bijou, and distinguished Denver v. CRWCD as unique to the facts in that case, deciding the Denver Water Board sought to appropriate water to sell for profit to parties outside its own boundaries.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court explained that the Denver Water Board acted "in the capacity of a water supplier on the open market rather than as a governmental entity seeking to ensure future water supplies for its citizens."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municipal planning exception was therefore unavailable to the Denver Water Board, which was "required to comply with the full range of requirements applicable to private parties under Vidler."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Thus, the court established the exception to the exception to the anti-speculation doctrine that would apply to any governmental agency that "profits" from the sale of water outside its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unique facts of Denver v. CRWCD, as the court in Bijou described them, were not quite accurate. In Denver v. CRWCD,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characterized the Denver Water Board's lease of water outside its boundaries as "proprietary" to determine whether the General Assembly had authorized extraterritorial water service.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But neither the special master referee, trial court, nor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Denver v. CRWCD considered evidence, or made a finding that the Denver Water Board sold water for "profit" as Vidler used that term. The Denver Water Board's rates and revenues derive from the city's charter obligation to recover the full cost of service.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Denver's city charter requires the Denver Water Board to charge an additional amount for water leased outside the city,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such charges simply reimburse the citizens of Denver for the use of its system.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Denver Water Board, as a governmental entity, does not "profit" as that term was used in Vidler, and certainly no member of the Denver Water Board personally profits.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Further, when the Denver Water Board supplies water in its proprietary capacity outside its boundaries, it remains a public utility for public use.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Denver v. CRWCD did not consider the statutory governmental exemption of 1979.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Because the claims were filed prior to the enactment of 1969 Act, the provisions of the 1969 Act, including the governmental exemption to the anti-speculation doctrine of 1979, did not apply and Denver v. CRWCD did not consider them.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Denver Water Board, as a governmental agency, should have been given wide latitude under the 1919 conditional water right statute and cases (including Sheriff,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Metropolitan Suburban) decided under the 1919 Act, to determine its reasonable needs outside its municipal boundaries, rather than the private speculator test that the court applied in Vidler.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and County of Denver could still annex property outside of its boundaries. Even though the1974 Poundstone Amendment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constrained Denver's ability to annex areas outside its boundaries, it did not prohibit Denver from annexing land, as when Denver annexed forty-five square miles for the Denver International Airport in 1988.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Denver Water Board's proprietary actions of leasing water outside its boundaries did not seem to trouble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Sheriff,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Metropolitan Suburban. None of these cases applied a Vidler type common law test; rather, the court confirmed Denver Water Board's appropriations based upon its anticipated needs, including amounts necessary to serve adjacent areas in the metropolitan area without a requirement of firm contractual commitments.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with Bijou, despite a clear statutory exception from the General Assembly limiting governmental agencies' burden of proof in demonstrating a non-speculative appropriation,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created an exception to the exception to the anti-speculation doctrine, essentially applicable to a single water user within the state.  </w:t>
      </w:r>
      <w:r>
        <w:rPr>
          <w:rFonts w:ascii="arial" w:eastAsia="arial" w:hAnsi="arial" w:cs="arial"/>
          <w:vertAlign w:val="superscript"/>
        </w:rPr>
        <w:footnoteReference w:customMarkFollows="1" w:id="141"/>
        <w:t xml:space="preserve">140</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CIRCUMSTANCES LEADING UP TO PAGOSA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Drought of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years preceding the Court's decision in Pagosa I and Pagosa II,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experienced a severe hydrologic drought which precipitated the enactment of several pieces of legislation considered by the Court in its Pagosa decisions. In 2002,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worst single-year droughts in its recorded history.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Storage reserves in Lake Powell dropped dramatically, triggering anxieties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that downstream states would place a compact call.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Denver Water Board's storage reserves dropped to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approximately 45% of capacity.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dilemma for most governing bodies is how to plan for the unknown. In 2002, the governing bodies had to grapple with the unknowns of drought severity and duration.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Droughts test the accuracy of previous planning departments' determinations of an adequate water supply, the failure of which can spell disaster for any community -large or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 Jumps Into Water Supply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2003, the General Assembly enacted various water related legislation in reaction to the 2002 drought. In 2003, the General Assembly authorized three million dollars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to investigate all aspects of water supply and water demand through the year 2030 in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of the state.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overall objective of the Statewide Water Supply Initiative ("SWSI") was to help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"maintain an adequate water supply for its citizens and the environment."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Because of the divisive nature of water issues in the West 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the study established certain ground rules including the acknowledgement that SWSI was "not [to] take the place of local water planning."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General Assembly amended the Water Conservation Act of 1991 by an act concerning water planning by retail water providers to promote wise water use, conservation, and drought planning by public and private agencies, as well as encourage and support execution of this act that relates to the development and into the statewide water supply initiative.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statute still allows water providers to determine the manner in which they develop, adopt, make publicly available, and implement a conservation plan.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momentum initiated by SWSI, the General Assembly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for the 21st Century Act in 2005.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Intending to "facilitate discussion and negotiations between basins on water management issues, and to encourage locally driven collaborative solutions to water supply challenges … ," the General Assembly created an interbasin compact committee and nine basin roundtables.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General Assembly authorized each roundtable to use the data and information derived from SWSI to develop a basin-wide consumptive and non-consumptive water supply needs assessment, to quantify the amount of available unappropriated water within each basin, and to propose projects or methods for meeting the consumptive and non-consumptive water supply needs identified in the assessment.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However, the General Assembly did not authorize the roundtables to construct or operate water supply systems or remove water from the streams to supply its water needs, leaving those activities to municipalities and other governmental entities.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2008, apparently concerned that local governments were granting land development permits based upon inadequate water supplies, the General Assembly added a section to the Local Government Regulation of Land Use to require consideration of the adequacy of water supply before granting development.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General Assembly found that securing an adequate supply of water to serve a land development can have a broad regional impact within and between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Thus, it was imperative that local governments receive reliable information concerning the adequacy of the proposed developers' water supply.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So, the General Assembly declared that "while land use and development approval decisions are matters of local concern," the local governments must consider certain information in its determination of whether the water supply for the proposed developer is adequate under its sole discretion.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General Assembly also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water for the proposed development is to be provided by a water supply entity that has a water supply plan that: (a) Has been reviewed and updated, if appropriate, within the previous ten years by the governing board of the water supply entity; (b) Has a minimum twenty-year planning horizon; (c) Lists conservation measures, if any, that may be implemented within the service area; (d) Lists the water demand management measures, if any, that may be implemented within the service area; (e) Includes a general description of water supply entity's water obligations; (f) Includes a general description of the water supply entity's water supplies; and (g) Is on file with the local government.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2009, the CWCB issued a draft study extending the SWSI study to the year 2050, pursuant to a request by the Western Slope basin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roundtables.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study extended the population and water use projections to 2050, updated the per capita use estimates, and revised the Self-Supplied Industrial forecast.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However, SWSI acknowledged that providing water for municipal and agricultural users is the purview of local water providers and that SWSI does not take the place of local water planning.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In the land use statute, the General Assembly left the determination of a sufficient water supply to the sole discretion of the local government.  </w:t>
      </w:r>
      <w:r>
        <w:rPr>
          <w:rFonts w:ascii="arial" w:eastAsia="arial" w:hAnsi="arial" w:cs="arial"/>
          <w:vertAlign w:val="superscript"/>
        </w:rPr>
        <w:footnoteReference w:customMarkFollows="1" w:id="162"/>
        <w:t xml:space="preserve">161</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PAGOSA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Pagosa I: The Court's First Foray Into Judicial Water Supply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Remember Pagosa? This is a song about Pagosa.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Pagosa 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faced the questions of whether, as a matter of law, a government agency may obtain water rights in amounts premised on growth 100 years into the future;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whether the applicants, the Pagosa Water &amp; Sanitation District ("Pagosa") and San Juan Water Conservancy District ("San Juan") (collectively referred to as the "Districts"), put on sufficient evidence to substantiate their reasonably anticipated requirements for their appropriation, including population projections and per capita water usage;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and whether Pagosa and San Juan demonstrated a sufficient intent necessary to appropriate water rights in the amounts and for the uses it sought.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Pagosa's water resource engineer recommended that Pagosa apply for conditional water rights sufficient to fill the proposed Dry Gulch Reservoir to the maximum possible size of 35,000 acre-feet.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Pagosa's engineer testified it was a "no brainer" to go for the maximum site capacity based upon economies of scale.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To make the engineer's "no brainer" recommendation fit the Bijou standard, Pagosa put on evidence that this supply of water would meet a need based upon a 100-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year planning period.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water court then confirmed an appropriation for Pagosa and San Juan for a water storage right at Dry Gulch Reservoir in the amount of 29,000 acre-feet and an eighty cfs direct flow right from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Trout Unlimited ("TU") appealed,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claiming the amount awarded was more than Pagosa or San Juan could reasonably anticipate using over a reasonable period of time in violation of the anti-speculation doctrine.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agreed.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for the majority, Justice Hobbs held that "based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statutory requirements and Bijou, the limited governmental agency exception to the anti-speculation doctrine should be construed narrowly, in order to meet the state's maximum utilization and optimum beneficial use goals."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He continued, "Although the fifty year planning period … we approved in Bijou is not a fixed upper limit, and each case depends on its own facts, the water court should closely scrutinize a governmental agency's claim for a planning period that exceeds fifty years."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Concerned that a municipality's long term planning horizon could preclude other legitimate water uses and avoid the state's maximum utilization and optimum beneficial use goals, the court established a municipal duty of water.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Rather than using the tunnels, reservoirs, pipes and pipelines designed by the municipality, the municipal duty of water is now measured by the following elements: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a reasonable water supply planning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substantiated population projections based on a normal rate of growth for that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what amount of available unappropriated water is reasonably necessary to serve the reasonably anticipated needs of the governmental agency for the planning period, above its current water supply.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governmental agency] must show under the "can and will" test that it can and will put the conditionally appropriated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water to beneficial use within a reasonable period of time."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also articulated four factors to assist the court in its determination of the elements: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implementation of reasonable water conservation measures for the planning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reasonably expected land use mixes during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reasonably attainable per capita usage projections for indoor and outdoor use based on the land use mixes for that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amount of consumptive use reasonably necessary for use through the conditional appropriation to serve the increased population.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holding, the majority narrowly construed the limited governmental agency exception to the anti-speculation doctrine by inferring that a planning period longer than 50 years was unreasonable.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In doing so, the court effectively fashioned a new planning standard allowing its opinion to "override the studied good-faith opinions" of Pagosa and San Juan "as to future needs of the public for facilities or commodities."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Reluctantly concurring in the judgment, Justice Coats took exception with the majority on the issue of the planning period. He pointed out the "can and will" standard still requires a reasonable time frame to develop the facilities necessary to place the waters to beneficial use.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He expressed concern that the majority derived the fifty year planning period from a very complex project and that courts should not presumptively apply the same planning period to less complicated projects.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Justices Eid and Rice, on the other hand, concurred in the result but were troubled that the majority's "narrow construction" of Bijou would deprive municipalities of the "longstanding recognition" of the need for flexibility to plan for future water needs.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They even suggested that it may be necessary to modify or reconsider the Bijou framework.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court then remanded the case back to the water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court with instructions that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examine the evidence utilizing the elements applicable to determining whether the districts have met their burden for a non-speculative conditional appropriation, accompany its judgment with sufficient findings of fact based on the evidence, and fashion appropriate decree provisions, which may include "reality checks" and volumetric limitations provisions for the districts' conditional appropriation.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Pagosa II: The Judiciary's Second Foray into Municipal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remand, Pagosa and San Juan did not offer any additional evidence, and the court refused TU's request to present additional evidence.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In considering the evidence from Pagosa I and the instructions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entered a decree based upon a fifty year planning horizon;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(2) reduced the conditional storage right to 19,300 acre-feet with a refill right for an additional 6,000 acre-feet;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(3) confirmed an appropriation for a direct right of fifty cfs to meet instantaneous demands;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imposed reality checks in subsequent diligence proceedings to monitor actual growth in equivalent units, actual per capita usage, federal bypass requirements, and effects of climate change.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Again TU appealed, claiming that Pagosa and San Juan failed to (1) substantiate population projections based upon a normal rate of growth; (2) establish the reasonableness of the fifty year planning horizon period; and (3) establish that the decreed amounts of water are reasonably necessary to serve the projected population through 2055.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fifty year planning period because of findings of the lengthy lead time for land acquisition, environmental field studies, design and engineering, permitting, financing, constructing, and filling the reservoir; the court further held that the state's statewide water supply planning process extended to the year 2050.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However, the court determined that the existing record did not contain sufficient evidence to justify (1) recreational in-channel, instream flow and hypothetical federal bypass flow requirements; (2) fifty cfs direct flow diversion; and (3) a storage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right of 25,300 acre-feet.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remand,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directed the trial court to take additional evidence that, when considering the 2055 planning period, it can justify (1) a recreational in-channel, instream flow, and/or a bypass flow; (2) and independent direct flow diversion water right; and (3) a storage right of 25,300 acre-feet.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court provided guidance that based the direct flow right upon the "amount of water reasonably necessary … to meet seasonal peak demand and potential outages impeding Dry Gulch Reservoir deliveries into the District's water system," unless other evidence justified a different amount.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concluded the record contained evidence supporting the 2055 planning period, the 200 gallons per capita usage number, and that carryover storage may be necessary to meet their reasonably anticipated needs including a safety supply margin, recreation, piscatorial and wildlife uses; but that the remand decree did not address the projected land use mix of the City of Pagosa Springs or of Archuleta County.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Because the projected land use mix affects the per capita water usage in the long term, it affects the calculation of the reasonable amounts of water necessary for the applicants in the study period.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its land use factor, the court referenced the 2008 land use legislation as complementing the elements and factors referenced in Pagosa I.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Then, the court went outside the record and considered the 2009 draft of 2050 population and municipal and industrial use projections of the General Assembly's statewide planning process even though the original study was "not to take the place of local water planning."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directed the water court on remand to make a finding on the amount of annual dry year yield available from the District's existing water rights.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During its instruction at trial, the court instructed the water court to address the methodology and results of the 2009 draft SWSI study along with all other evidence of population projections and water supply needs for the District's 2055 water needs.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rejected the amici and District's arguments that governmental agencies act in a legislative capacity when they make conditional water appropriations and thus are entitled to deference to the claimed amounts of water the suppliers deem reasonably necessary for their future use.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 only accommodation the General Assembly made to governmental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water suppliers is to allow "conditional appropriations to be made and decreed for a future reasonable water supply period in reasonably anticipated amounts[.]"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Pagosa Factors Intrude Upon Governmental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areas of the law, courts defer under the theory of separation of powers to the policy determinations of the legislative and executive branches of government.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been reluctant to substitute their judgment for that of the municipal decision maker in zoning matters,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annexations,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rate making,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and condemnation.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Prior to the 1969 Act, the courts would not intrude upon governmental agencies' decisions in matters that related to water planning.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Even after the 1969 Act, Bijou cautioned courts to be sensitive not to "inappropriately infringe on the water management decisions of … municipal water officials."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suggesting the trial court make findings on the reasonableness of conservation, land use mixes, per capita use, and the anticipated consumptive use, the court entwined itself in municipal planning functions.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Fundamentally, the factors intrude upon governmental decision making and give rise to judicial legislation, which prior decisions discouraged.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pertinent factor, whether the applicant implemented reasonable water conservation measures for the planning period,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troubling for a number of reasons.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Apparently, conservation measures are pertinent because beneficial use requires "use of that amount of water that is reasonable and appropriate under reasonably efficient practices to accomplish without waste the purpose for which the appropriation is lawfully made ..."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Thus, a municipality must show its use is reasonably efficient, which a conservation plan can demonstrate. Further,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requires governmental entities providing more than 2,000 acre-feet to implement a water conservation plan encouraging its customers to use water more efficiently.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plan must include a description of the water-saving measures and programs, the role of the conservation plan in its water supply planning, the steps used to develop and implement the water conservation plan, the time period the entity will review and update its conservation plan and an estimate of the amount of water that the conservation plan has and will save.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conservation plan is a strategy to conserve water.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If the water user is a governmental entity, it must adopt that strategy pursuant to its governmental process.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Normally, an elected council or Board passes a conservation plan, acting in a legislative capacity that is subject to public input and review.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However, when the court must determine the reasonableness of a conservation plan, the court then substitutes its judgment for that of the governing body. This comes at the expense of government agencies' legislative discretion, as different governmental entities may desire different conservation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water saving measures and programs that the state requires include: water efficient fixtures and appliances low water use landscapes, water efficient industrial and commercial water using processes, water reuse systems, distribution system leak repairs, education, rate structures designed to discourage water use, billing systems, regulatory measures, and incentives including rebates.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Most conservation plans do not include drought mitigation or response plans.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Further, a municipality's conservation plan must be balanced with its goal to develop a reliable water supply that will meet peak demands under efficient practices without mandatory water use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restrictions because those restrictions can cause economic injury.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Compounding matters, the court's conservation factors leave the door open to a host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constitutes a reasonable conservation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if another governmental entity has a stricter conservation plan than the appropriator - does that mean the court can pass judgment and deny an application because the conservation plan could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sanction should be imposed if the conservation plan is changed, or is not strictly implemented or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pertinent factor, requiring a governmental applicant to show its reasonably expected land use mixes during that period, also presents a host of questions and problems.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To satisfy this factor, the applicant must present evidence of undeveloped land and its zoning.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Land zoned for residential use may have different per capita demand than land zoned for commercial, governmental, or industrial uses.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This is a reasonable method to forecast demands but it is not the only method to forecast demands, particularly if the service area is "built out."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An examination of reasonable land use mixes in an already developed metropolitan area does not allow for an accurate prediction of future demands within the area. Property uses and zoning can easily change over a fifty-year period. Areas that were once used for industrial purposes can give way to new residential uses and vice versa. Further, a land use based water demand projection does not take into account the potential for an increase in density over the years. Econometric demand models and simple trend spreadsheets, which are based on anticipated regional economic and demographic growth rather than projected land use mixes, are other planning methods, which can more accurately predict future demand for a developed metropolitan area.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When a court assesses the reasonableness of the expected land use mixes, the court again substitutes its judgment for that of the elected officials, who are responsible for the quality of life decisions that a governmental entities should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too many confounding factors affect or influence the attainability of reasonable per capita usage projections for indoor and outdoor use based on the land use mixes for a planning period, with weather being the most significant of these factors. If it rains, then per capita use goes down.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If it is hot and dry, per capita use goes up.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So should a governmental agency assume hot and dry per capita usage without restrictions to be prudent and conservative? Most governmental entities design their systems to meet a peak instantaneous demand, which usually occurs when the climate is hot and dry.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But should the court impose hypothetical restrictions to ascertain reasonably efficient practices? Further, people who live outside the service area but have jobs inside the service area may not be factored in a per capita calculation. Remember, the court in Sheriff and Metropolitan Suburban deferred to the government's need for flexibility and its exercise of managerial judgment.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By assessing the reasonableness of the per capita use in the governmental service area, the court once again becomes the decision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consumptive use factor, a governmental applicant must now present evidence of "the amount of consumptive use reasonably necessary for use through the conditional appropriation to serve the increased population."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For this pertinent factor,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cited an article, which concluded a municipality need only to "replace" the amount consumed in an augmentation plan.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Thus, the authors of the article concluded that the "size of the required water supply is usually determined by the amount of water that will be physically consumed, not actually diverted from a water source."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But this factor can be misleading. For example, of one acre-foot of water used in a home, less than 10% of the water may be permanently lost to the stream due to evaporation, human consumption, other consumption associated with household uses, or losses occurring as part of the wastewater treatment process.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remaining 90% of the water not consumed returns to its source.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 determining the amount of water needed to serve its customers, municipalities do not base their determination of need solely on the 10% of water a single home will consumptively use, but also on the entire acre-foot of water that a home will "use" while the 10% is being consumed.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 other words, a municipality needs to be able to provide the ten gallons that a homeowner will use in taking the shower, not just the single gallon the towel will "consume". The "one size fits all" application of a consumptive use factor is not pertinent for many water users, and it has limited applicability in determining total municipal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while many municipalities operate significant portions of their systems under an augmentation plan, many others do not.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Some municipalities developed their water systems before the 1969 Act and base their requirements the old fashioned way - by satisfying diversion demands in accordance with the priority system.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For example, the Denver Water Board diverts under its direct flow rights when it is in priority and exchanges water or releases water from storage when it is out of priority to meet its fluctuating demands.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Denver Water Board does not to any significant degree, operate its municipal system under an augmentation plan; thus, its consumptive use does not drive major portions of its decision making.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Instead, the Denver Water Board predicts its future diversion demands based upon historical use data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and various factors of water use including population, employment, household size, precipitation, and lawn size.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Pagosa,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foreclose the water court from considering other factors in determining the reasonableness of the particular governmental agency's anticipated needs.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Other factors could include flood control, water administration requirements, distribution losses, safety factors, operational emergencies, permit requirements, climate variability, recreational uses, piscatorial uses, and aesthetic uses. These additional needs may not involve a determination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of consumptive use, land use mixes, or population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Pagosa II, the court held that carryover storage equal to the water system's annual demand may be necessary to meet the District's reasonably anticipated 2055 water needs.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However, possession of a safety reserve is also prudent from a governing body's perspective in case droughts are worse than what historical gage data has recorded.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But a governing body may not place safety factor or strategic reserve water to an actual beneficial use unless there is an emergency. Is this speculation, or prudent municipal planning? Currently, the Denver Water Board has a policy to reserve 30,000 acre-feet of yield in its system for catastrophic events: larger than unexpected build-out demands, lower than expected yield from its water rights and facilities, and longer than anticipated droughts.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For example, the gauged data during a critical dry period in the 1950s influences Denver Water Board's yield.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If a drought occurs that is more severe than the critical period, then Denver Water Board's yield will be less. Even with mandatory restrictions, a safety factor or strategic reserve is prudent to protect from droughts more severe than the historical gauged data reflects.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people and the General Assembly have authorized local governments to develop and operate water works systems and facilities, the courts should defer to the exercise of that legislative decision making unless it is fraudulent, abuses discretion, or is inherently unsound.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doctrine of maximum utilization under the 1969 Act did not take away any of these powers provided to governmental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agencies.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Rather, the doctrine simply encouraged distribution of waters for different beneficial purposes such as augmentation plans, instream flows, and recreational instream channel diversions.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that determination of deference, the court should consider whether the governmental agencies determined their water supply needs in an open public process by which the public and interested stakeholders could have scrutinized the reasons for the water supply period and the basis for the governmental agencies' need for additional water. The courts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Does the municipality have a process to determine its water supply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it followed its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was involved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information was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assumptions were made?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 there a record of that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there is evidence of fraud or abuse of discretion, the judiciary should then defer to the decisions the governmental body's decisions in its legislative or quasi-legislative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Pagosa I and Bijou,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applied the chicken or the egg principle when it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conditional appropriation must not be based on a conjectural population projection that becomes a self-fulfilling prophecy of growth. Most Front Range municipalities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conjecture growth in the next few decades at exponential rates. To some extent, that growth is directly related to the ability of the municipality to supply water. Hence, the projection becomes a self-fulfilling prophecy if the municipality secures a right to the water necessary to sustain the growth. We do not view such conjecture as sufficient substantiation to support a conditional decree for water. Municipalities must do more than represent to the water court that if they had water, they would be able to grow.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will communities continue to thrive if their water supplies are insufficient to sustain the community, and will communities' water supply needs cease at end of the planning horizon? A simple test exists at Mesa Verde National Park. Many believe the Park is the abandoned home of an indigenous people who left their community during a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period of severe and prolonged drought and cooler temperatures.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So we offer the Pagosa question: are municipalities merely conjecturing growth, or are they developing an adequate water supply capable of sustaining their populations and economies into the future so that they, too, do not become a piece of history like Mesa Verde?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2010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788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Pagosa II is the second in a series of two consecutive cases with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as the first. In Pagosa I,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addressed the question of whether a one hundred year planning horizon for a new conditional appropriation is inherently speculative. </w:t>
      </w:r>
      <w:hyperlink r:id="rId2" w:history="1">
        <w:r>
          <w:rPr>
            <w:rFonts w:ascii="arial" w:eastAsia="arial" w:hAnsi="arial" w:cs="arial"/>
            <w:b w:val="0"/>
            <w:i/>
            <w:strike w:val="0"/>
            <w:noProof w:val="0"/>
            <w:color w:val="0077CC"/>
            <w:position w:val="0"/>
            <w:sz w:val="18"/>
            <w:u w:val="single"/>
            <w:shd w:val="clear" w:color="auto" w:fill="FFFFFF"/>
            <w:vertAlign w:val="baseline"/>
          </w:rPr>
          <w:t>Id. at 313.</w:t>
        </w:r>
      </w:hyperlink>
      <w:r>
        <w:rPr>
          <w:rFonts w:ascii="arial" w:eastAsia="arial" w:hAnsi="arial" w:cs="arial"/>
          <w:b w:val="0"/>
          <w:i w:val="0"/>
          <w:strike w:val="0"/>
          <w:noProof w:val="0"/>
          <w:color w:val="000000"/>
          <w:position w:val="0"/>
          <w:sz w:val="18"/>
          <w:u w:val="none"/>
          <w:vertAlign w:val="baseline"/>
        </w:rPr>
        <w:t xml:space="preserve"> The court held that a one hundred year planning horizon period was speculative and adopted a three-part test for determining whether a governmental agency has an intent to make a non-speculative conditional appropriation of unappropriated water. </w:t>
      </w:r>
      <w:hyperlink r:id="rId2" w:history="1">
        <w:r>
          <w:rPr>
            <w:rFonts w:ascii="arial" w:eastAsia="arial" w:hAnsi="arial" w:cs="arial"/>
            <w:b w:val="0"/>
            <w:i/>
            <w:strike w:val="0"/>
            <w:noProof w:val="0"/>
            <w:color w:val="0077CC"/>
            <w:position w:val="0"/>
            <w:sz w:val="18"/>
            <w:u w:val="single"/>
            <w:shd w:val="clear" w:color="auto" w:fill="FFFFFF"/>
            <w:vertAlign w:val="baseline"/>
          </w:rPr>
          <w:t>Id. at 313, 320.</w:t>
        </w:r>
      </w:hyperlink>
      <w:r>
        <w:rPr>
          <w:rFonts w:ascii="arial" w:eastAsia="arial" w:hAnsi="arial" w:cs="arial"/>
          <w:b w:val="0"/>
          <w:i w:val="0"/>
          <w:strike w:val="0"/>
          <w:noProof w:val="0"/>
          <w:color w:val="000000"/>
          <w:position w:val="0"/>
          <w:sz w:val="18"/>
          <w:u w:val="none"/>
          <w:vertAlign w:val="baseline"/>
        </w:rPr>
        <w:t xml:space="preserve"> The court remanded the case to the water court, which, after additional fact-finding, entered a modified decree. </w:t>
      </w:r>
      <w:hyperlink r:id="rId1" w:history="1">
        <w:r>
          <w:rPr>
            <w:rFonts w:ascii="arial" w:eastAsia="arial" w:hAnsi="arial" w:cs="arial"/>
            <w:b w:val="0"/>
            <w:i/>
            <w:strike w:val="0"/>
            <w:noProof w:val="0"/>
            <w:color w:val="0077CC"/>
            <w:position w:val="0"/>
            <w:sz w:val="18"/>
            <w:u w:val="single"/>
            <w:shd w:val="clear" w:color="auto" w:fill="FFFFFF"/>
            <w:vertAlign w:val="baseline"/>
          </w:rPr>
          <w:t>Pagosa II, 219 P.3d at 776-77.</w:t>
        </w:r>
      </w:hyperlink>
      <w:r>
        <w:rPr>
          <w:rFonts w:ascii="arial" w:eastAsia="arial" w:hAnsi="arial" w:cs="arial"/>
          <w:b w:val="0"/>
          <w:i w:val="0"/>
          <w:strike w:val="0"/>
          <w:noProof w:val="0"/>
          <w:color w:val="000000"/>
          <w:position w:val="0"/>
          <w:sz w:val="18"/>
          <w:u w:val="none"/>
          <w:vertAlign w:val="baseline"/>
        </w:rPr>
        <w:t xml:space="preserve"> This decree gave rise to an appeal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resulting in Pagosa II. Id.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840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289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I, 219 P.3d at 317.</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id. at 314 n.6, 320.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37-92-103(3)(a)(I)</w:t>
        </w:r>
      </w:hyperlink>
      <w:r>
        <w:rPr>
          <w:rFonts w:ascii="arial" w:eastAsia="arial" w:hAnsi="arial" w:cs="arial"/>
          <w:b w:val="0"/>
          <w:i w:val="0"/>
          <w:strike w:val="0"/>
          <w:noProof w:val="0"/>
          <w:color w:val="000000"/>
          <w:position w:val="0"/>
          <w:sz w:val="18"/>
          <w:u w:val="none"/>
          <w:vertAlign w:val="baseline"/>
        </w:rPr>
        <w:t xml:space="preserve"> (2009).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City of Thornton v. Bijou Irrigation Dist., 926 P.2d 1, 52-53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(en banc).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In 1919, the General Assembly required adjudication of all water rights in order to establish the rights' priorities and enforce them. Harold H. Ellis &amp; Meyer J. Peter DeBraal, Water Rights in the Nineteen Western States 472 (2004). An uncompleted appropriation was styled a "conditional" decree.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730, 745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(en banc).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Amended Statement of Claim at 3, Fraser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Diversion Project, No. 657 (Dist. 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13, 1937). Denver's 1937 amended statement of claim described the Moffat Water Tunnel as a constructed tunnel with a diameter of 10.5 feet and a carrying capacity of 1,280 cfs. Id. The amount claimed for beneficial use was also 1,280 cfs even though only 600 cfs had been diverted. Id. at 10. Denver claimed that the City and County of Denver had a population of 300,000 persons and was constantly growing. Id. at 14. In order to provide sufficient water for its growing needs, Denver asserted that it was necessary that the construction of the Denver Municipal Water System provide a greater supply of water than needed for immediate use by its inhabitants. Id. at 15-16. Consequently, it was the custom of the City and County of Denver to lease water it did not need for immediate use to other water users including irrigation. Id. at 16.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w:t>
      </w:r>
      <w:hyperlink r:id="rId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839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The offending provision stated: "Any waters decreed herein, whether decreed therefore [sic] to be for direct flow or for storage, and whether the said decree be absolute or conditional, be diverted, taken and used as supplemental to the decreed water rights now belonging to claimant, which said decrees are from the waters of the natural streams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that the said claimant be required to satisfy its needs for waters from said existing decrees owned by it before it shall be held to require or need waters herein decreed or shall be entitled to take the same. That the waters herein decreed shall be held by the said claimant as a water supply supplemental to its present supply of water available under water decrees which the said claimant now holds and to be used only to the extent necessary to fill the needs and requirements of the claimant for municipal purposes, after it has made full and economical use of the waters available to it under water decrees now owned by it." Id.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840.</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841.</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843.</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314 n.6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(Coats, J., concurring).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Sheriff, 96 P.2d at 841</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State Dep't of Ecology v. Theodoratus, 957 P.2d 1241, 1258 (Wash. 1998)</w:t>
        </w:r>
      </w:hyperlink>
      <w:r>
        <w:rPr>
          <w:rFonts w:ascii="arial" w:eastAsia="arial" w:hAnsi="arial" w:cs="arial"/>
          <w:b w:val="0"/>
          <w:i w:val="0"/>
          <w:strike w:val="0"/>
          <w:noProof w:val="0"/>
          <w:color w:val="000000"/>
          <w:position w:val="0"/>
          <w:sz w:val="18"/>
          <w:u w:val="none"/>
          <w:vertAlign w:val="baseline"/>
        </w:rPr>
        <w:t xml:space="preserve"> (Saunders, J., dissenting) (discussing the "growing communities doctrine").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 at 1258.</w:t>
        </w:r>
      </w:hyperlink>
      <w:r>
        <w:rPr>
          <w:rFonts w:ascii="arial" w:eastAsia="arial" w:hAnsi="arial" w:cs="arial"/>
          <w:b w:val="0"/>
          <w:i w:val="0"/>
          <w:strike w:val="0"/>
          <w:noProof w:val="0"/>
          <w:color w:val="000000"/>
          <w:position w:val="0"/>
          <w:sz w:val="18"/>
          <w:u w:val="none"/>
          <w:vertAlign w:val="baseline"/>
        </w:rPr>
        <w:t xml:space="preserve"> In Theodoratus, the issue was whether a vested water right could be awarded based upon the capacity of a private developer's water delivery system, or whether a vested water right could be obtained only in the amount of water actually put to beneficial use. </w:t>
      </w:r>
      <w:hyperlink r:id="rId9" w:history="1">
        <w:r>
          <w:rPr>
            <w:rFonts w:ascii="arial" w:eastAsia="arial" w:hAnsi="arial" w:cs="arial"/>
            <w:b w:val="0"/>
            <w:i/>
            <w:strike w:val="0"/>
            <w:noProof w:val="0"/>
            <w:color w:val="0077CC"/>
            <w:position w:val="0"/>
            <w:sz w:val="18"/>
            <w:u w:val="single"/>
            <w:shd w:val="clear" w:color="auto" w:fill="FFFFFF"/>
            <w:vertAlign w:val="baseline"/>
          </w:rPr>
          <w:t>Id. at 1243.</w:t>
        </w:r>
      </w:hyperlink>
      <w:r>
        <w:rPr>
          <w:rFonts w:ascii="arial" w:eastAsia="arial" w:hAnsi="arial" w:cs="arial"/>
          <w:b w:val="0"/>
          <w:i w:val="0"/>
          <w:strike w:val="0"/>
          <w:noProof w:val="0"/>
          <w:color w:val="000000"/>
          <w:position w:val="0"/>
          <w:sz w:val="18"/>
          <w:u w:val="none"/>
          <w:vertAlign w:val="baseline"/>
        </w:rPr>
        <w:t xml:space="preserve"> The Washington Supreme Court upheld the trial court's determination that a final certificate of water right must be based upon actual application of water to beneficial use, not upon system capacity. Id. The supreme court noted, however, that the appellant was a private developer with a finite development and not a municipality. </w:t>
      </w:r>
      <w:hyperlink r:id="rId9" w:history="1">
        <w:r>
          <w:rPr>
            <w:rFonts w:ascii="arial" w:eastAsia="arial" w:hAnsi="arial" w:cs="arial"/>
            <w:b w:val="0"/>
            <w:i/>
            <w:strike w:val="0"/>
            <w:noProof w:val="0"/>
            <w:color w:val="0077CC"/>
            <w:position w:val="0"/>
            <w:sz w:val="18"/>
            <w:u w:val="single"/>
            <w:shd w:val="clear" w:color="auto" w:fill="FFFFFF"/>
            <w:vertAlign w:val="baseline"/>
          </w:rPr>
          <w:t>Id. at 1247.</w:t>
        </w:r>
      </w:hyperlink>
      <w:r>
        <w:rPr>
          <w:rFonts w:ascii="arial" w:eastAsia="arial" w:hAnsi="arial" w:cs="arial"/>
          <w:b w:val="0"/>
          <w:i w:val="0"/>
          <w:strike w:val="0"/>
          <w:noProof w:val="0"/>
          <w:color w:val="000000"/>
          <w:position w:val="0"/>
          <w:sz w:val="18"/>
          <w:u w:val="none"/>
          <w:vertAlign w:val="baseline"/>
        </w:rPr>
        <w:t xml:space="preserve"> Yet, the same court also noted that the Governor had vetoed 1997 legislation that would have allowed for a system capacity measure of a water right for public water supplies that fulfill municipal water supply purposes. Id. This decision resulted in uncertainty to cities that held water certificates based upon system capacity rather than actual use. In reaction to this decision, Washington's General Assembly passed a comprehensive bill clarifying the nature of water rights for municipal supply purposes that, in part, grandfathered existing water certificates based upon system capacity and did not limit the measure of a municipal water right if it had an approved municipal water plan. See </w:t>
      </w:r>
      <w:hyperlink r:id="rId10" w:history="1">
        <w:r>
          <w:rPr>
            <w:rFonts w:ascii="arial" w:eastAsia="arial" w:hAnsi="arial" w:cs="arial"/>
            <w:b w:val="0"/>
            <w:i/>
            <w:strike w:val="0"/>
            <w:noProof w:val="0"/>
            <w:color w:val="0077CC"/>
            <w:position w:val="0"/>
            <w:sz w:val="18"/>
            <w:u w:val="single"/>
            <w:shd w:val="clear" w:color="auto" w:fill="FFFFFF"/>
            <w:vertAlign w:val="baseline"/>
          </w:rPr>
          <w:t>Wash. Rev. Code § 90.03.330</w:t>
        </w:r>
      </w:hyperlink>
      <w:r>
        <w:rPr>
          <w:rFonts w:ascii="arial" w:eastAsia="arial" w:hAnsi="arial" w:cs="arial"/>
          <w:b w:val="0"/>
          <w:i w:val="0"/>
          <w:strike w:val="0"/>
          <w:noProof w:val="0"/>
          <w:color w:val="000000"/>
          <w:position w:val="0"/>
          <w:sz w:val="18"/>
          <w:u w:val="none"/>
          <w:vertAlign w:val="baseline"/>
        </w:rPr>
        <w:t xml:space="preserve"> (2009). In 2006, the statute was challenged as unconstitutional. Lummi Indian Nation v. State of Washington, No. 06-2-40103-4 (Sup. Ct. Wash., June 11, 2008) petition for cert. filed (No. 81809-6). The trial judge determined that certain provisions were unconstitutional and the appeal is pending. Id.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County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(Blue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276 P.2d 992, 995-97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Denver Water, Dillon Reservoir, </w:t>
      </w:r>
      <w:hyperlink r:id="rId11" w:history="1">
        <w:r>
          <w:rPr>
            <w:rFonts w:ascii="arial" w:eastAsia="arial" w:hAnsi="arial" w:cs="arial"/>
            <w:b w:val="0"/>
            <w:i/>
            <w:strike w:val="0"/>
            <w:noProof w:val="0"/>
            <w:color w:val="0077CC"/>
            <w:position w:val="0"/>
            <w:sz w:val="18"/>
            <w:u w:val="single"/>
            <w:shd w:val="clear" w:color="auto" w:fill="FFFFFF"/>
            <w:vertAlign w:val="baseline"/>
          </w:rPr>
          <w:t>http://www.denverwater.org/Recreation/Dillon/</w:t>
        </w:r>
      </w:hyperlink>
      <w:r>
        <w:rPr>
          <w:rFonts w:ascii="arial" w:eastAsia="arial" w:hAnsi="arial" w:cs="arial"/>
          <w:b w:val="0"/>
          <w:i w:val="0"/>
          <w:strike w:val="0"/>
          <w:noProof w:val="0"/>
          <w:color w:val="000000"/>
          <w:position w:val="0"/>
          <w:sz w:val="18"/>
          <w:u w:val="none"/>
          <w:vertAlign w:val="baseline"/>
        </w:rPr>
        <w:t xml:space="preserve"> (last visited Jan. 30, 2010).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Blue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276 P.2d at 996.</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 water conservation district created under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 37-46-101</w:t>
        </w:r>
      </w:hyperlink>
      <w:r>
        <w:rPr>
          <w:rFonts w:ascii="arial" w:eastAsia="arial" w:hAnsi="arial" w:cs="arial"/>
          <w:b w:val="0"/>
          <w:i w:val="0"/>
          <w:strike w:val="0"/>
          <w:noProof w:val="0"/>
          <w:color w:val="000000"/>
          <w:position w:val="0"/>
          <w:sz w:val="18"/>
          <w:u w:val="none"/>
          <w:vertAlign w:val="baseline"/>
        </w:rPr>
        <w:t xml:space="preserve"> (2009).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Blue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276 P.2d at 997.</w:t>
      </w: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(emphasis added).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289-90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Metropolitan Suburban Water Users Association was a private nonprofit corporation formed by John P. Elliott to acquire, own, purchase and sell water rights associated with his original filings for the proposed Homestake Project. See David F. Lawrence, John P. Elliott, Owen Moore, Articles of Incorporation of Metropolitan Water Users Association (May 16, 1956); Test. John. P. Elliott, In the Matter of the Adjudication of Water Rights in District 37, No. 1193 (Sept. 24, 1956) (recounting John P. Elliott's involvement with water diversions for the Homestake Water Project).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Metro. Suburban, 365 P.2d at 275.</w:t>
        </w:r>
      </w:hyperlink>
      <w:r>
        <w:rPr>
          <w:rFonts w:ascii="arial" w:eastAsia="arial" w:hAnsi="arial" w:cs="arial"/>
          <w:b w:val="0"/>
          <w:i w:val="0"/>
          <w:strike w:val="0"/>
          <w:noProof w:val="0"/>
          <w:color w:val="000000"/>
          <w:position w:val="0"/>
          <w:sz w:val="18"/>
          <w:u w:val="none"/>
          <w:vertAlign w:val="baseline"/>
        </w:rPr>
        <w:t xml:space="preserve"> Former Water District 37 consisted of all lands lying 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irrigated by water taken from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148-13-38 (1963).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Metro. Suburban, 365 P.2d at 275.</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276.</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277.</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277-78.</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278.</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279-80.</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281.</w:t>
        </w:r>
      </w:hyperlink>
      <w:r>
        <w:rPr>
          <w:rFonts w:ascii="arial" w:eastAsia="arial" w:hAnsi="arial" w:cs="arial"/>
          <w:b w:val="0"/>
          <w:i w:val="0"/>
          <w:strike w:val="0"/>
          <w:noProof w:val="0"/>
          <w:color w:val="000000"/>
          <w:position w:val="0"/>
          <w:sz w:val="18"/>
          <w:u w:val="none"/>
          <w:vertAlign w:val="baseline"/>
        </w:rPr>
        <w:t xml:space="preserve"> The Court relied on Section 6 art. XVI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which provides in relevant part: "The right to divert the unappropriated waters of any natural stream to beneficial uses shall never be denied."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(emphasis added).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Metro. Suburban, 365 P.2d at 281-82, 284.</w:t>
        </w:r>
      </w:hyperlink>
      <w:r>
        <w:rPr>
          <w:rFonts w:ascii="arial" w:eastAsia="arial" w:hAnsi="arial" w:cs="arial"/>
          <w:b w:val="0"/>
          <w:i w:val="0"/>
          <w:strike w:val="0"/>
          <w:noProof w:val="0"/>
          <w:color w:val="000000"/>
          <w:position w:val="0"/>
          <w:sz w:val="18"/>
          <w:u w:val="none"/>
          <w:vertAlign w:val="baseline"/>
        </w:rPr>
        <w:t xml:space="preserve"> The 1919 conditional water right statute provides in relevant part: "if it shall appear that any claimant at said proceedings, or his predecessors in title and claim, has prosecuted his claims of appropriation and the financing and construction of his enterprise with reasonable diligence under all the facts and circumstances surrounding and bearing upon such claim of appropriation, the district court shall enter a decree fixing and determining the priority of right of each such partially completed appropriation as of the date from which such reasonable diligence shall be shown to have been exercised, and fixing the maximum amount of water which such claimant shall be entitled to divert under said priority for the purpose of perfecting his said appropriation..." </w:t>
      </w:r>
      <w:hyperlink r:id="rId4" w:history="1">
        <w:r>
          <w:rPr>
            <w:rFonts w:ascii="arial" w:eastAsia="arial" w:hAnsi="arial" w:cs="arial"/>
            <w:b w:val="0"/>
            <w:i/>
            <w:strike w:val="0"/>
            <w:noProof w:val="0"/>
            <w:color w:val="0077CC"/>
            <w:position w:val="0"/>
            <w:sz w:val="18"/>
            <w:u w:val="single"/>
            <w:shd w:val="clear" w:color="auto" w:fill="FFFFFF"/>
            <w:vertAlign w:val="baseline"/>
          </w:rPr>
          <w:t>Id. at 281-82</w:t>
        </w:r>
      </w:hyperlink>
      <w:r>
        <w:rPr>
          <w:rFonts w:ascii="arial" w:eastAsia="arial" w:hAnsi="arial" w:cs="arial"/>
          <w:b w:val="0"/>
          <w:i w:val="0"/>
          <w:strike w:val="0"/>
          <w:noProof w:val="0"/>
          <w:color w:val="000000"/>
          <w:position w:val="0"/>
          <w:sz w:val="18"/>
          <w:u w:val="none"/>
          <w:vertAlign w:val="baseline"/>
        </w:rPr>
        <w:t xml:space="preserve"> (emphasis added). See also Ellis &amp; DeBraal, supra note 7, at 472.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Metro. Suburban, 365 P.2d at 283.</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Taussig v. Moffat Tunnel Water &amp; Development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106 P.2d 363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1940).</w:t>
      </w: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Metro. Suburban, 365 P.2d at 285</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283..</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287-88.</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288.</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289.</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Legislative Council, Explanation of Proposed Water Legislation 1, Research Publication No. 143 (1968).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5.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Water Rights and Determination and Administration Act of 1969, ch. 373, § 1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1200) (1969 Act) (current version at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(2009).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id. at 1207-08.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1204.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1216-18.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1200. In Pagosa I,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described the importance of maximum utilization under the 1969 Act: "The public's water resource is subject to maximum utilization, a doctrine intended to make water available for as many decreed uses as there is available supply."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313-14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i/>
          <w:strike w:val="0"/>
          <w:noProof w:val="0"/>
          <w:color w:val="000000"/>
          <w:position w:val="0"/>
          <w:sz w:val="18"/>
          <w:u w:val="single"/>
          <w:vertAlign w:val="baseline"/>
        </w:rPr>
        <w:t>Colo .</w:t>
      </w:r>
      <w:r>
        <w:rPr>
          <w:rFonts w:ascii="arial" w:eastAsia="arial" w:hAnsi="arial" w:cs="arial"/>
          <w:b w:val="0"/>
          <w:i w:val="0"/>
          <w:strike w:val="0"/>
          <w:noProof w:val="0"/>
          <w:color w:val="000000"/>
          <w:position w:val="0"/>
          <w:sz w:val="18"/>
          <w:u w:val="none"/>
          <w:vertAlign w:val="baseline"/>
        </w:rPr>
        <w:t xml:space="preserve">Rev. Stat. § 37-92-102(1)(a) (2009); see also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v. City of Golden, 44 P.3d 241, 245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"Within the priority system, maximum utilization spreads the benefit of the public's water resources to as many uses as possible, within the limits of the physically available water supply, the constraints of interstate water compacts, and the requirements of United States Supreme Court equitable apportionment decrees. In turn, the objective of maximum use administration, under the prior appropriation system, is to achieve "optimum use" in every appropriator's utilization of the water." § 37-92-501(2)(e). "All rules and regulations shall have as their objective the optimum use of water consistent with preservation of the priority system of water rights." Id. "Maximum utilization does not mean that every ounce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natural stream water ought to be appropriated; optimum use can be achieved only through proper regard for all significant factors, including environmental and economic concerns."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314.</w:t>
        </w:r>
      </w:hyperlink>
      <w:r>
        <w:rPr>
          <w:rFonts w:ascii="arial" w:eastAsia="arial" w:hAnsi="arial" w:cs="arial"/>
          <w:b w:val="0"/>
          <w:i w:val="0"/>
          <w:strike w:val="0"/>
          <w:noProof w:val="0"/>
          <w:color w:val="000000"/>
          <w:position w:val="0"/>
          <w:sz w:val="18"/>
          <w:u w:val="none"/>
          <w:vertAlign w:val="baseline"/>
        </w:rPr>
        <w:t xml:space="preserve"> See </w:t>
      </w:r>
      <w:hyperlink r:id="rId15" w:history="1">
        <w:r>
          <w:rPr>
            <w:rFonts w:ascii="arial" w:eastAsia="arial" w:hAnsi="arial" w:cs="arial"/>
            <w:b w:val="0"/>
            <w:i/>
            <w:strike w:val="0"/>
            <w:noProof w:val="0"/>
            <w:color w:val="0077CC"/>
            <w:position w:val="0"/>
            <w:sz w:val="18"/>
            <w:u w:val="single"/>
            <w:shd w:val="clear" w:color="auto" w:fill="FFFFFF"/>
            <w:vertAlign w:val="baseline"/>
          </w:rPr>
          <w:t>Alamosa-La Jara Water Users Prot. Ass'n v. Gould, 674 P.2d 914, 935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see also James N. Corbridge, Historical Water Use and the Protection of Vested Rights: A Challenge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69 U.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L. Rev. 503, 506 (1998)</w:t>
        </w:r>
      </w:hyperlink>
      <w:r>
        <w:rPr>
          <w:rFonts w:ascii="arial" w:eastAsia="arial" w:hAnsi="arial" w:cs="arial"/>
          <w:b w:val="0"/>
          <w:i w:val="0"/>
          <w:strike w:val="0"/>
          <w:noProof w:val="0"/>
          <w:color w:val="000000"/>
          <w:position w:val="0"/>
          <w:sz w:val="18"/>
          <w:u w:val="none"/>
          <w:vertAlign w:val="baseline"/>
        </w:rPr>
        <w:t xml:space="preserve"> ("Part III reviews some of the principles of water measurement in the context of maximum utilization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resources.").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1969 Act, at 1201.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37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7" w:history="1">
        <w:r>
          <w:rPr>
            <w:rFonts w:ascii="arial" w:eastAsia="arial" w:hAnsi="arial" w:cs="arial"/>
            <w:b/>
            <w:i/>
            <w:strike w:val="0"/>
            <w:noProof w:val="0"/>
            <w:color w:val="0077CC"/>
            <w:position w:val="0"/>
            <w:sz w:val="18"/>
            <w:u w:val="single"/>
            <w:shd w:val="clear" w:color="auto" w:fill="FFFFFF"/>
            <w:vertAlign w:val="baseline"/>
          </w:rPr>
          <w:t>River</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District v. Vidler Tunnel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594 P.2d 566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Huston (Huston), 593 P.2d 1347,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1979) (issued April 16, 1979). See infra Part III.C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Huston, 593 P.2d at 1348-49.</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1348.</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1349.</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1349.</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there are four classes of water: (1) surface water and hydraulically connected ground water,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37-92-103(13)</w:t>
        </w:r>
      </w:hyperlink>
      <w:r>
        <w:rPr>
          <w:rFonts w:ascii="arial" w:eastAsia="arial" w:hAnsi="arial" w:cs="arial"/>
          <w:b w:val="0"/>
          <w:i w:val="0"/>
          <w:strike w:val="0"/>
          <w:noProof w:val="0"/>
          <w:color w:val="000000"/>
          <w:position w:val="0"/>
          <w:sz w:val="18"/>
          <w:u w:val="none"/>
          <w:vertAlign w:val="baseline"/>
        </w:rPr>
        <w:t xml:space="preserve"> (2009); (2) water within designated ground water, § 37-90-103(6)(a); (3) not-non tributary groundwater, § 37-90-103(10.7); and (4) non-tributary groundwater, § 37-90-103(10.5). Designated ground water is a statutory class of water that in its "natural course would not be available to and required for the fulfillment of decreed surface rights, or ground water in areas not adjacent to a continuously flowing natural stream wherein ground water withdrawals have constituted the principal water usage for at least fifteen years preceding the date of the first hearing on the proposed designation of the basin, and which in both cases is within the geographic boundaries of a designated ground water basin." </w:t>
      </w:r>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Rev. Stat. § 37-90-103(6)(a)</w:t>
        </w:r>
      </w:hyperlink>
      <w:r>
        <w:rPr>
          <w:rFonts w:ascii="arial" w:eastAsia="arial" w:hAnsi="arial" w:cs="arial"/>
          <w:b w:val="0"/>
          <w:i w:val="0"/>
          <w:strike w:val="0"/>
          <w:noProof w:val="0"/>
          <w:color w:val="000000"/>
          <w:position w:val="0"/>
          <w:sz w:val="18"/>
          <w:u w:val="none"/>
          <w:vertAlign w:val="baseline"/>
        </w:rPr>
        <w:t xml:space="preserve"> (2009).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Huston, 593 P.2d at 1354</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In the late forties, Herbert T. Young, geologist, miner and water entrepreneur, discovered a partially completed but abandoned railroad tunnel that ran from the headwaters of Leavenworth Creek above Georgetown to the headwaters of Peru Creek, a tributary to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Summit County. Herbert C. Young, Understanding Water Rights and Conflicts, About the Author (2d ed. 2003). He bought the mining claims, completed construction of the tunnel in 1968, and built a water collection system on tributaries of Peru Creek to import water through the Vidler Tunnel to the Front Range. Id. In 1973, Vidler Tunnel Water Company received a conditional water right for importations through the tunnel into the headwaters of Clear Creek for domestic, agricultural, industrial and municipal uses in the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Front Range.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7" w:history="1">
        <w:r>
          <w:rPr>
            <w:rFonts w:ascii="arial" w:eastAsia="arial" w:hAnsi="arial" w:cs="arial"/>
            <w:b/>
            <w:i/>
            <w:strike w:val="0"/>
            <w:noProof w:val="0"/>
            <w:color w:val="0077CC"/>
            <w:position w:val="0"/>
            <w:sz w:val="18"/>
            <w:u w:val="single"/>
            <w:shd w:val="clear" w:color="auto" w:fill="FFFFFF"/>
            <w:vertAlign w:val="baseline"/>
          </w:rPr>
          <w:t>River</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District v. Vidler Tunnel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(Vidler), 594 P.2d 566, 566-67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In 1979, notwithstanding the "longstanding view" against speculation, Water Court Judge Lohr approved and decreed this claim. </w:t>
      </w:r>
      <w:hyperlink r:id="rId17" w:history="1">
        <w:r>
          <w:rPr>
            <w:rFonts w:ascii="arial" w:eastAsia="arial" w:hAnsi="arial" w:cs="arial"/>
            <w:b w:val="0"/>
            <w:i/>
            <w:strike w:val="0"/>
            <w:noProof w:val="0"/>
            <w:color w:val="0077CC"/>
            <w:position w:val="0"/>
            <w:sz w:val="18"/>
            <w:u w:val="single"/>
            <w:shd w:val="clear" w:color="auto" w:fill="FFFFFF"/>
            <w:vertAlign w:val="baseline"/>
          </w:rPr>
          <w:t>Id. at 567.</w:t>
        </w:r>
      </w:hyperlink>
      <w:r>
        <w:rPr>
          <w:rFonts w:ascii="arial" w:eastAsia="arial" w:hAnsi="arial" w:cs="arial"/>
          <w:b w:val="0"/>
          <w:i w:val="0"/>
          <w:strike w:val="0"/>
          <w:noProof w:val="0"/>
          <w:color w:val="000000"/>
          <w:position w:val="0"/>
          <w:sz w:val="18"/>
          <w:u w:val="none"/>
          <w:vertAlign w:val="baseline"/>
        </w:rPr>
        <w:t xml:space="preserve"> In 2000, the City of Golden acquired the Vidler Tunnel water rights. City of Golden, Vidler Tunnel and Collection System, </w:t>
      </w:r>
      <w:hyperlink r:id="rId20" w:history="1">
        <w:r>
          <w:rPr>
            <w:rFonts w:ascii="arial" w:eastAsia="arial" w:hAnsi="arial" w:cs="arial"/>
            <w:b w:val="0"/>
            <w:i/>
            <w:strike w:val="0"/>
            <w:noProof w:val="0"/>
            <w:color w:val="0077CC"/>
            <w:position w:val="0"/>
            <w:sz w:val="18"/>
            <w:u w:val="single"/>
            <w:shd w:val="clear" w:color="auto" w:fill="FFFFFF"/>
            <w:vertAlign w:val="baseline"/>
          </w:rPr>
          <w:t>http://www.ci.golden.</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.us/Page.asp?NavID=680</w:t>
        </w:r>
      </w:hyperlink>
      <w:r>
        <w:rPr>
          <w:rFonts w:ascii="arial" w:eastAsia="arial" w:hAnsi="arial" w:cs="arial"/>
          <w:b w:val="0"/>
          <w:i w:val="0"/>
          <w:strike w:val="0"/>
          <w:noProof w:val="0"/>
          <w:color w:val="000000"/>
          <w:position w:val="0"/>
          <w:sz w:val="18"/>
          <w:u w:val="none"/>
          <w:vertAlign w:val="baseline"/>
        </w:rPr>
        <w:t xml:space="preserve"> (last visited Feb. 8, 2010). Yet, the Company's application in 1975 for Sheephorn Reservoir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made Vidler a familiar name.</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Vidler, 594 P.2d at 567;</w:t>
        </w:r>
      </w:hyperlink>
      <w:r>
        <w:rPr>
          <w:rFonts w:ascii="arial" w:eastAsia="arial" w:hAnsi="arial" w:cs="arial"/>
          <w:b w:val="0"/>
          <w:i w:val="0"/>
          <w:strike w:val="0"/>
          <w:noProof w:val="0"/>
          <w:color w:val="000000"/>
          <w:position w:val="0"/>
          <w:sz w:val="18"/>
          <w:u w:val="none"/>
          <w:vertAlign w:val="baseline"/>
        </w:rPr>
        <w:t xml:space="preserve"> Young, supra note 66, at About the Author.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Vidler, 594 P.2d at 567.</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566, 568.</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568-70.</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314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see generally Scott A. Clark and Alix L. Joseph, Changes of Water Rights and the Anti-Speculation Doctrine: The Continuing Importance of Actual Beneficial Use, </w:t>
      </w:r>
      <w:hyperlink r:id="rId22" w:history="1">
        <w:r>
          <w:rPr>
            <w:rFonts w:ascii="arial" w:eastAsia="arial" w:hAnsi="arial" w:cs="arial"/>
            <w:b w:val="0"/>
            <w:i/>
            <w:strike w:val="0"/>
            <w:noProof w:val="0"/>
            <w:color w:val="0077CC"/>
            <w:position w:val="0"/>
            <w:sz w:val="18"/>
            <w:u w:val="single"/>
            <w:shd w:val="clear" w:color="auto" w:fill="FFFFFF"/>
            <w:vertAlign w:val="baseline"/>
          </w:rPr>
          <w:t>9 U. Denv. Water L. Rev. 553, 555-556 (2006).</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37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730, 757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Rocky Mountain Power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v.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646 P.2d 383, 388-89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Bijou, 926 P.2d at 1, 37.</w:t>
        </w:r>
      </w:hyperlink>
      <w:r>
        <w:rPr>
          <w:rFonts w:ascii="arial" w:eastAsia="arial" w:hAnsi="arial" w:cs="arial"/>
          <w:b w:val="0"/>
          <w:i w:val="0"/>
          <w:strike w:val="0"/>
          <w:noProof w:val="0"/>
          <w:color w:val="000000"/>
          <w:position w:val="0"/>
          <w:sz w:val="18"/>
          <w:u w:val="none"/>
          <w:vertAlign w:val="baseline"/>
        </w:rPr>
        <w:t xml:space="preserve"> George Lohr was appointed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on December 14, 1979. See Lohr, George 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Library, </w:t>
      </w:r>
      <w:hyperlink r:id="rId24"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.us/courts/sctlib/77.htm</w:t>
        </w:r>
      </w:hyperlink>
      <w:r>
        <w:rPr>
          <w:rFonts w:ascii="arial" w:eastAsia="arial" w:hAnsi="arial" w:cs="arial"/>
          <w:b w:val="0"/>
          <w:i w:val="0"/>
          <w:strike w:val="0"/>
          <w:noProof w:val="0"/>
          <w:color w:val="000000"/>
          <w:position w:val="0"/>
          <w:sz w:val="18"/>
          <w:u w:val="none"/>
          <w:vertAlign w:val="baseline"/>
        </w:rPr>
        <w:t xml:space="preserve"> (last visited on February 2, 2010).</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at 757;</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Rocky Mountain, 646 P.2d at 388.</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Rocky Mountain, 646 P.2d at 389.</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(2009);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Legislative Drafting Office, Digest of Bills Enacted by the Fifty-Second General Assembly, 1979 First Regular Session, 162-63 (1979).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 37-92-103(3)(a)(II).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314 n.6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see § 37-92-103(3)(a)(II).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 37-92-103(3) (2009) (emphasis added).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Bd. of County Comm'rs of Arapahoe v. United States, 891 P.2d 952, 960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 37-92-103(3)(a)(I); see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314, n.6.</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 37-92-103(3)(a)(I).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id. § 37-92-103(3)(a)(II).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 37-92-103(3)(a)(I).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 37-92-103(3)(1)(I);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(citing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(holding that the limited governmental agency exception to the anti-speculation doctrine for conditional water rights should be construed narrowly in order to meet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maximum utilization goals).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 37-92-103(3)(a)(II); see also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315</w:t>
        </w:r>
      </w:hyperlink>
      <w:r>
        <w:rPr>
          <w:rFonts w:ascii="arial" w:eastAsia="arial" w:hAnsi="arial" w:cs="arial"/>
          <w:b w:val="0"/>
          <w:i w:val="0"/>
          <w:strike w:val="0"/>
          <w:noProof w:val="0"/>
          <w:color w:val="000000"/>
          <w:position w:val="0"/>
          <w:sz w:val="18"/>
          <w:u w:val="none"/>
          <w:vertAlign w:val="baseline"/>
        </w:rPr>
        <w:t xml:space="preserve"> (citing </w:t>
      </w:r>
      <w:hyperlink r:id="rId7" w:history="1">
        <w:r>
          <w:rPr>
            <w:rFonts w:ascii="arial" w:eastAsia="arial" w:hAnsi="arial" w:cs="arial"/>
            <w:b w:val="0"/>
            <w:i/>
            <w:strike w:val="0"/>
            <w:noProof w:val="0"/>
            <w:color w:val="0077CC"/>
            <w:position w:val="0"/>
            <w:sz w:val="18"/>
            <w:u w:val="single"/>
            <w:shd w:val="clear" w:color="auto" w:fill="FFFFFF"/>
            <w:vertAlign w:val="baseline"/>
          </w:rPr>
          <w:t>Bijou, 926 P.2d at 38-39)</w:t>
        </w:r>
      </w:hyperlink>
      <w:r>
        <w:rPr>
          <w:rFonts w:ascii="arial" w:eastAsia="arial" w:hAnsi="arial" w:cs="arial"/>
          <w:b w:val="0"/>
          <w:i w:val="0"/>
          <w:strike w:val="0"/>
          <w:noProof w:val="0"/>
          <w:color w:val="000000"/>
          <w:position w:val="0"/>
          <w:sz w:val="18"/>
          <w:u w:val="none"/>
          <w:vertAlign w:val="baseline"/>
        </w:rPr>
        <w:t xml:space="preserve"> (holding government agencies need not be certain of future needs and thus may conditionally appropriate within a reasonable planning period, but the agencies bear to burden to prove the plan is not speculative, and not conjectural future population growth becoming a self-fulfilling prophecy).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State Dep't of Natural Res. v. Sw.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671 P.2d 1294, 1302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(en banc) cert. denied, </w:t>
      </w:r>
      <w:r>
        <w:rPr>
          <w:rFonts w:ascii="arial" w:eastAsia="arial" w:hAnsi="arial" w:cs="arial"/>
          <w:b/>
          <w:i/>
          <w:strike w:val="0"/>
          <w:noProof w:val="0"/>
          <w:color w:val="000000"/>
          <w:position w:val="0"/>
          <w:sz w:val="18"/>
          <w:u w:val="none"/>
          <w:vertAlign w:val="baseline"/>
        </w:rPr>
        <w:t>466 U.S. 944 (1984).</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1310,</w:t>
        </w:r>
      </w:hyperlink>
      <w:r>
        <w:rPr>
          <w:rFonts w:ascii="arial" w:eastAsia="arial" w:hAnsi="arial" w:cs="arial"/>
          <w:b w:val="0"/>
          <w:i w:val="0"/>
          <w:strike w:val="0"/>
          <w:noProof w:val="0"/>
          <w:color w:val="000000"/>
          <w:position w:val="0"/>
          <w:sz w:val="18"/>
          <w:u w:val="none"/>
          <w:vertAlign w:val="baseline"/>
        </w:rPr>
        <w:t xml:space="preserve"> superseded by 1983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2080 (codified as amended at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 37-92-203(1)</w:t>
        </w:r>
      </w:hyperlink>
      <w:r>
        <w:rPr>
          <w:rFonts w:ascii="arial" w:eastAsia="arial" w:hAnsi="arial" w:cs="arial"/>
          <w:b w:val="0"/>
          <w:i w:val="0"/>
          <w:strike w:val="0"/>
          <w:noProof w:val="0"/>
          <w:color w:val="000000"/>
          <w:position w:val="0"/>
          <w:sz w:val="18"/>
          <w:u w:val="none"/>
          <w:vertAlign w:val="baseline"/>
        </w:rPr>
        <w:t xml:space="preserve">, (2009)) as recognized in </w:t>
      </w:r>
      <w:hyperlink r:id="rId28" w:history="1">
        <w:r>
          <w:rPr>
            <w:rFonts w:ascii="arial" w:eastAsia="arial" w:hAnsi="arial" w:cs="arial"/>
            <w:b w:val="0"/>
            <w:i/>
            <w:strike w:val="0"/>
            <w:noProof w:val="0"/>
            <w:color w:val="0077CC"/>
            <w:position w:val="0"/>
            <w:sz w:val="18"/>
            <w:u w:val="single"/>
            <w:shd w:val="clear" w:color="auto" w:fill="FFFFFF"/>
            <w:vertAlign w:val="baseline"/>
          </w:rPr>
          <w:t>Qualls, Inc. v. Berryman, 798 P.2d 1095, 1098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(en banc).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State Dep't., 671 P.2d at 1319.</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Jaeger v.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746 P.2d 515, 523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v. N. Kiowa-Bijou Groundwater Mgmt. Dist., 77 P.3d 62, 78-79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E. Cherry Creek Valley Water &amp; Sanitation Dist. v. Rangeview Metro. Dist., 109 P.3d 154, 157-58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158-59</w:t>
        </w:r>
      </w:hyperlink>
      <w:r>
        <w:rPr>
          <w:rFonts w:ascii="arial" w:eastAsia="arial" w:hAnsi="arial" w:cs="arial"/>
          <w:b w:val="0"/>
          <w:i w:val="0"/>
          <w:strike w:val="0"/>
          <w:noProof w:val="0"/>
          <w:color w:val="000000"/>
          <w:position w:val="0"/>
          <w:sz w:val="18"/>
          <w:u w:val="none"/>
          <w:vertAlign w:val="baseline"/>
        </w:rPr>
        <w:t xml:space="preserve"> (citing SB 5, ch. 285, sec. 3 § 37-90-137 (July 1, 1985), 1985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1160 (codified as amended at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section 37-90-137,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Rev. Stat.</w:t>
        </w:r>
      </w:hyperlink>
      <w:r>
        <w:rPr>
          <w:rFonts w:ascii="arial" w:eastAsia="arial" w:hAnsi="arial" w:cs="arial"/>
          <w:b w:val="0"/>
          <w:i w:val="0"/>
          <w:strike w:val="0"/>
          <w:noProof w:val="0"/>
          <w:color w:val="000000"/>
          <w:position w:val="0"/>
          <w:sz w:val="18"/>
          <w:u w:val="none"/>
          <w:vertAlign w:val="baseline"/>
        </w:rPr>
        <w:t xml:space="preserve"> (2009))).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730, 756-57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734-36.</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Michael D. White, Report of the Special Master Referee, 27, Civil Action Nos. 2371, 1529 and 1548 (April 3, 1978) (including testimony of James L. Oglivie, Secretary Manager of the Denver Water Department, who on April 24, 1972 described the borders of a 1,000 square mile service area which he anticipated that Denver would eventually supply).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at 737, 741, 757.</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737.</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757.</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737-38.</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742, 745.</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744-45.</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742.</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757.</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757 n.18.</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757.</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19-21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Thornton based its projected need, in part, on a 10% safety factor and 15% factor accounting for distribution losses. Testimony of Walid Hajj, Case No. 86CW401, 86CW402, 86CW403 and 87CW332, March 31, 1992, p. 90, 91.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19, 40.</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40.</w:t>
        </w:r>
      </w:hyperlink>
      <w:r>
        <w:rPr>
          <w:rFonts w:ascii="arial" w:eastAsia="arial" w:hAnsi="arial" w:cs="arial"/>
          <w:b w:val="0"/>
          <w:i w:val="0"/>
          <w:strike w:val="0"/>
          <w:noProof w:val="0"/>
          <w:color w:val="000000"/>
          <w:position w:val="0"/>
          <w:sz w:val="18"/>
          <w:u w:val="none"/>
          <w:vertAlign w:val="baseline"/>
        </w:rPr>
        <w:t xml:space="preserve"> ("A municipality may take into consideration facts indicating that its physical area is likely to expand in the course of growth. Planning need not be limited to current geographic limits if there is reasonable expectation that those limits will expand.") Id.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41.</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36, 39.</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37-38.</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38.</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40.</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Bennett Bear Creek Farm Water &amp; Sanitation Dist. v. City &amp; County of Denver, 928 P.2d 1254, 1266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1270.</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Charter of the City &amp; County of Denver art. X, § 10.1.13 "Water Leases," available at </w:t>
      </w:r>
      <w:hyperlink r:id="rId34" w:history="1">
        <w:r>
          <w:rPr>
            <w:rFonts w:ascii="arial" w:eastAsia="arial" w:hAnsi="arial" w:cs="arial"/>
            <w:b w:val="0"/>
            <w:i/>
            <w:strike w:val="0"/>
            <w:noProof w:val="0"/>
            <w:color w:val="0077CC"/>
            <w:position w:val="0"/>
            <w:sz w:val="18"/>
            <w:u w:val="single"/>
            <w:shd w:val="clear" w:color="auto" w:fill="FFFFFF"/>
            <w:vertAlign w:val="baseline"/>
          </w:rPr>
          <w:t>http://www.denverwater.org/OperatingRules/OperRulesArticleX/</w:t>
        </w:r>
      </w:hyperlink>
      <w:r>
        <w:rPr>
          <w:rFonts w:ascii="arial" w:eastAsia="arial" w:hAnsi="arial" w:cs="arial"/>
          <w:b w:val="0"/>
          <w:i w:val="0"/>
          <w:strike w:val="0"/>
          <w:noProof w:val="0"/>
          <w:color w:val="000000"/>
          <w:position w:val="0"/>
          <w:sz w:val="18"/>
          <w:u w:val="none"/>
          <w:vertAlign w:val="baseline"/>
        </w:rPr>
        <w:t xml:space="preserve"> ("The Board shall have power to lease water and water rights for use outside the territorial limits of the City and County of Denver, but such leases shall provide for limitations of delivery of water to whatever extent may be necessary to enable the Board to provide an adequate supply of water to the people of Denver. Every such lease shall contain terms to secure payment of sufficient money to fully reimburse the people of Denver for the cost of furnishing the water together with an additional amount to be determined by the Board.").</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Bennett, 928 P.2d at 1272 n.27</w:t>
        </w:r>
      </w:hyperlink>
      <w:r>
        <w:rPr>
          <w:rFonts w:ascii="arial" w:eastAsia="arial" w:hAnsi="arial" w:cs="arial"/>
          <w:b w:val="0"/>
          <w:i w:val="0"/>
          <w:strike w:val="0"/>
          <w:noProof w:val="0"/>
          <w:color w:val="000000"/>
          <w:position w:val="0"/>
          <w:sz w:val="18"/>
          <w:u w:val="none"/>
          <w:vertAlign w:val="baseline"/>
        </w:rPr>
        <w:t xml:space="preserve"> (The additional amount recovers the costs that Denver citizens incur for the capital they have invested in utility assets used to provide service to outside city customers).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Charter of the City and County of Denver art. X,§§10.1.2-3 available at </w:t>
      </w:r>
      <w:hyperlink r:id="rId34" w:history="1">
        <w:r>
          <w:rPr>
            <w:rFonts w:ascii="arial" w:eastAsia="arial" w:hAnsi="arial" w:cs="arial"/>
            <w:b w:val="0"/>
            <w:i/>
            <w:strike w:val="0"/>
            <w:noProof w:val="0"/>
            <w:color w:val="0077CC"/>
            <w:position w:val="0"/>
            <w:sz w:val="18"/>
            <w:u w:val="single"/>
            <w:shd w:val="clear" w:color="auto" w:fill="FFFFFF"/>
            <w:vertAlign w:val="baseline"/>
          </w:rPr>
          <w:t>http://www.denverwater.org/OperatingRules/OperRulesArticleX/</w:t>
        </w:r>
      </w:hyperlink>
      <w:r>
        <w:rPr>
          <w:rFonts w:ascii="arial" w:eastAsia="arial" w:hAnsi="arial" w:cs="arial"/>
          <w:b w:val="0"/>
          <w:i w:val="0"/>
          <w:strike w:val="0"/>
          <w:noProof w:val="0"/>
          <w:color w:val="000000"/>
          <w:position w:val="0"/>
          <w:sz w:val="18"/>
          <w:u w:val="none"/>
          <w:vertAlign w:val="baseline"/>
        </w:rPr>
        <w:t xml:space="preserve"> (The Denver Water Board created under the Denver City Charter has no shareholders. The Mayor of Denver appoints the Board Members, who are compensated $ 600.00 per year).</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w:t>
      </w:r>
      <w:hyperlink r:id="rId35" w:history="1">
        <w:r>
          <w:rPr>
            <w:rFonts w:ascii="arial" w:eastAsia="arial" w:hAnsi="arial" w:cs="arial"/>
            <w:b w:val="0"/>
            <w:i/>
            <w:strike w:val="0"/>
            <w:noProof w:val="0"/>
            <w:color w:val="0077CC"/>
            <w:position w:val="0"/>
            <w:sz w:val="18"/>
            <w:u w:val="single"/>
            <w:shd w:val="clear" w:color="auto" w:fill="FFFFFF"/>
            <w:vertAlign w:val="baseline"/>
          </w:rPr>
          <w:t>Bd. of County Comm'rs of Arapahoe v. Denver Bd. of Water Comm'rs, 718 P.2d 235, 244-46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r>
        <w:rPr>
          <w:rFonts w:ascii="arial" w:eastAsia="arial" w:hAnsi="arial" w:cs="arial"/>
          <w:b w:val="0"/>
          <w:i w:val="0"/>
          <w:strike w:val="0"/>
          <w:noProof w:val="0"/>
          <w:color w:val="000000"/>
          <w:position w:val="0"/>
          <w:sz w:val="18"/>
          <w:u w:val="none"/>
          <w:vertAlign w:val="baseline"/>
        </w:rPr>
        <w:t xml:space="preserve"> (holding that the Denver Water Board is a non-regulated public utility when supplying water to customers inside and outside of Denver's territorial limits);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Farmers Reservoir &amp; Irrigation </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575 P.2d 382, 391 (1978).</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(2009).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730, 739-40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In Bijou the Supreme Court gave a partial explanation of the inapplicability of the governmental exemption, stating that the exemption "was enacted in 1979, more than ten years after the City of Denver applied" for a decree for the conditional water rights. </w:t>
      </w:r>
      <w:hyperlink r:id="rId7" w:history="1">
        <w:r>
          <w:rPr>
            <w:rFonts w:ascii="arial" w:eastAsia="arial" w:hAnsi="arial" w:cs="arial"/>
            <w:b w:val="0"/>
            <w:i/>
            <w:strike w:val="0"/>
            <w:noProof w:val="0"/>
            <w:color w:val="0077CC"/>
            <w:position w:val="0"/>
            <w:sz w:val="18"/>
            <w:u w:val="single"/>
            <w:shd w:val="clear" w:color="auto" w:fill="FFFFFF"/>
            <w:vertAlign w:val="baseline"/>
          </w:rPr>
          <w:t>City of Thornton v. Bijou Irrigation Dist., 926 P.2d 1, 40 n.27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While this statement is accurate, the more encompassing reason is that the 1943 and 1919 Acts, as opposed to the 1969 Act, governed the entire original proceeding.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To address the federal court's plan to integrate the tri-ethnic area through bussing and other programs, the City and County of Denver attempted to extend its boundaries through annexation. In response, Greenwood Village Mayor Freda Poundstone drafted an amendment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that required any annexation by one county of land in another county to be voted on by all citizens in the county giving up the land. Effectively, the amendment prevented Denver from annexing surrounding neighborhoods to be included in the desegregation effort.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XIV, §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XX, § 1; see generally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Keyes v. School Dist. No. 1, Denver,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380 F. Supp. 673, 684, 690-91 (D.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see generally Tom I. Romero, II, Uncertain Waters and Contested Lands: Excavating the Layers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Legal Past,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73 U.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L. Rev. 521, 579-84 (2002).</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In May 1988, voters in Adams County approved the City and County of Denver's annexation of approximately 45 square miles for an international airport. Catherine Kraft, Elections Admin., Abstract of Votes Cast at the Special Election on the Airport Agreement, May 17, 1988.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7" w:history="1">
        <w:r>
          <w:rPr>
            <w:rFonts w:ascii="arial" w:eastAsia="arial" w:hAnsi="arial" w:cs="arial"/>
            <w:b/>
            <w:i/>
            <w:strike w:val="0"/>
            <w:noProof w:val="0"/>
            <w:color w:val="0077CC"/>
            <w:position w:val="0"/>
            <w:sz w:val="18"/>
            <w:u w:val="single"/>
            <w:shd w:val="clear" w:color="auto" w:fill="FFFFFF"/>
            <w:vertAlign w:val="baseline"/>
          </w:rPr>
          <w:t>River</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283, 287-88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County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276 P.2d 992, 999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840-41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(2009); </w:t>
      </w:r>
      <w:hyperlink r:id="rId7" w:history="1">
        <w:r>
          <w:rPr>
            <w:rFonts w:ascii="arial" w:eastAsia="arial" w:hAnsi="arial" w:cs="arial"/>
            <w:b w:val="0"/>
            <w:i/>
            <w:strike w:val="0"/>
            <w:noProof w:val="0"/>
            <w:color w:val="0077CC"/>
            <w:position w:val="0"/>
            <w:sz w:val="18"/>
            <w:u w:val="single"/>
            <w:shd w:val="clear" w:color="auto" w:fill="FFFFFF"/>
            <w:vertAlign w:val="baseline"/>
          </w:rPr>
          <w:t>City of Thornton v. Bijou Irrigation Dist., 926 P.2d 1, 39-40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2002 Ann. Rep., available at </w:t>
      </w:r>
      <w:hyperlink r:id="rId39"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.us/pubs/annualreport/annlrpt_2002</w:t>
        </w:r>
      </w:hyperlink>
      <w:r>
        <w:rPr>
          <w:rFonts w:ascii="arial" w:eastAsia="arial" w:hAnsi="arial" w:cs="arial"/>
          <w:b w:val="0"/>
          <w:i w:val="0"/>
          <w:strike w:val="0"/>
          <w:noProof w:val="0"/>
          <w:color w:val="000000"/>
          <w:position w:val="0"/>
          <w:sz w:val="18"/>
          <w:u w:val="none"/>
          <w:vertAlign w:val="baseline"/>
        </w:rPr>
        <w:t xml:space="preserve">. PDF (last visited on Feb. 1, 2010); see also Connie A. Woodhouse, A Paleo Perspective on Hydroclimatic Variability in the Western United States, 66 Aquatic Sci. 346, 349 (2004) (stating that the severity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2002 drought was matched or exceeded about eight times during the 300 year study period).</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Bureau of Reclamation, Drought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Mar. 17, 2010, </w:t>
      </w:r>
      <w:hyperlink r:id="rId40" w:history="1">
        <w:r>
          <w:rPr>
            <w:rFonts w:ascii="arial" w:eastAsia="arial" w:hAnsi="arial" w:cs="arial"/>
            <w:b w:val="0"/>
            <w:i/>
            <w:strike w:val="0"/>
            <w:noProof w:val="0"/>
            <w:color w:val="0077CC"/>
            <w:position w:val="0"/>
            <w:sz w:val="18"/>
            <w:u w:val="single"/>
            <w:shd w:val="clear" w:color="auto" w:fill="FFFFFF"/>
            <w:vertAlign w:val="baseline"/>
          </w:rPr>
          <w:t>http://www.usbr.gov/uc/feature/drought.html</w:t>
        </w:r>
      </w:hyperlink>
      <w:r>
        <w:rPr>
          <w:rFonts w:ascii="arial" w:eastAsia="arial" w:hAnsi="arial" w:cs="arial"/>
          <w:b w:val="0"/>
          <w:i w:val="0"/>
          <w:strike w:val="0"/>
          <w:noProof w:val="0"/>
          <w:color w:val="000000"/>
          <w:position w:val="0"/>
          <w:sz w:val="18"/>
          <w:u w:val="none"/>
          <w:vertAlign w:val="baseline"/>
        </w:rPr>
        <w:t xml:space="preserve"> (last visited March 31, 2010).</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Denver Water, Comprehensive Annual Financial Report C-12 (2002) available at </w:t>
      </w:r>
      <w:hyperlink r:id="rId41" w:history="1">
        <w:r>
          <w:rPr>
            <w:rFonts w:ascii="arial" w:eastAsia="arial" w:hAnsi="arial" w:cs="arial"/>
            <w:b w:val="0"/>
            <w:i/>
            <w:strike w:val="0"/>
            <w:noProof w:val="0"/>
            <w:color w:val="0077CC"/>
            <w:position w:val="0"/>
            <w:sz w:val="18"/>
            <w:u w:val="single"/>
            <w:shd w:val="clear" w:color="auto" w:fill="FFFFFF"/>
            <w:vertAlign w:val="baseline"/>
          </w:rPr>
          <w:t>http://www.denverwater.org/docs/assets/E6522765-BCDF-1B42-D942C93720CC0ED0/AnnualReport20021.pdf</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National Drought Mitigation Center, Monitoring Drought, </w:t>
      </w:r>
      <w:hyperlink r:id="rId42" w:history="1">
        <w:r>
          <w:rPr>
            <w:rFonts w:ascii="arial" w:eastAsia="arial" w:hAnsi="arial" w:cs="arial"/>
            <w:b w:val="0"/>
            <w:i/>
            <w:strike w:val="0"/>
            <w:noProof w:val="0"/>
            <w:color w:val="0077CC"/>
            <w:position w:val="0"/>
            <w:sz w:val="18"/>
            <w:u w:val="single"/>
            <w:shd w:val="clear" w:color="auto" w:fill="FFFFFF"/>
            <w:vertAlign w:val="baseline"/>
          </w:rPr>
          <w:t>http://drought.unl.edu/monitor</w:t>
        </w:r>
      </w:hyperlink>
      <w:r>
        <w:rPr>
          <w:rFonts w:ascii="arial" w:eastAsia="arial" w:hAnsi="arial" w:cs="arial"/>
          <w:b w:val="0"/>
          <w:i w:val="0"/>
          <w:strike w:val="0"/>
          <w:noProof w:val="0"/>
          <w:color w:val="000000"/>
          <w:position w:val="0"/>
          <w:sz w:val="18"/>
          <w:u w:val="none"/>
          <w:vertAlign w:val="baseline"/>
        </w:rPr>
        <w:t xml:space="preserve"> (last visited Feb. 1, 2010).</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Act of May 19, 2003, ch. 269,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1768.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Natural Res., SWSI &amp; Technical Resources, </w:t>
      </w:r>
      <w:hyperlink r:id="rId43"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.us/IWMD/SWSITechnicalResources/</w:t>
        </w:r>
      </w:hyperlink>
      <w:r>
        <w:rPr>
          <w:rFonts w:ascii="arial" w:eastAsia="arial" w:hAnsi="arial" w:cs="arial"/>
          <w:b w:val="0"/>
          <w:i w:val="0"/>
          <w:strike w:val="0"/>
          <w:noProof w:val="0"/>
          <w:color w:val="000000"/>
          <w:position w:val="0"/>
          <w:sz w:val="18"/>
          <w:u w:val="none"/>
          <w:vertAlign w:val="baseline"/>
        </w:rPr>
        <w:t xml:space="preserve"> (last visited Feb. 1, 2010).</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Statewide Water Supply Initiative Executive Summary, Nov. 2003, at ES 3, available at </w:t>
      </w:r>
      <w:hyperlink r:id="rId4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.us/NR/rdonlyres/7D87609A-1CE6-4E16-ABF4-DD34878F0E33/0/ExecSummaryReport111504.pdf</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Executive].</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Act of June, 4, 2004, ch. 373,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1777.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Rev. Stat. § 37-60-126(3)</w:t>
        </w:r>
      </w:hyperlink>
      <w:r>
        <w:rPr>
          <w:rFonts w:ascii="arial" w:eastAsia="arial" w:hAnsi="arial" w:cs="arial"/>
          <w:b w:val="0"/>
          <w:i w:val="0"/>
          <w:strike w:val="0"/>
          <w:noProof w:val="0"/>
          <w:color w:val="000000"/>
          <w:position w:val="0"/>
          <w:sz w:val="18"/>
          <w:u w:val="none"/>
          <w:vertAlign w:val="baseline"/>
        </w:rPr>
        <w:t xml:space="preserve"> (2009).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Act of June, 4, 2004, ch. 314,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1472.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 § 37-75-104(1)(a)</w:t>
        </w:r>
      </w:hyperlink>
      <w:r>
        <w:rPr>
          <w:rFonts w:ascii="arial" w:eastAsia="arial" w:hAnsi="arial" w:cs="arial"/>
          <w:b w:val="0"/>
          <w:i w:val="0"/>
          <w:strike w:val="0"/>
          <w:noProof w:val="0"/>
          <w:color w:val="000000"/>
          <w:position w:val="0"/>
          <w:sz w:val="18"/>
          <w:u w:val="none"/>
          <w:vertAlign w:val="baseline"/>
        </w:rPr>
        <w:t xml:space="preserve"> (2009).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 37-75-104(2)(c).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Instead, the General Assembly authorized local entities to develop water supply systems. See § 31-35-402.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 29-20-304(1)(a).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 29-20-301(1)(a).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§§29-20-301(1)(b), 29-20-305(1).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 29-20-304(3).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2050 Municipal and Industrial Water use Projections ES-1 (draft 2009), </w:t>
      </w:r>
      <w:hyperlink r:id="rId4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7" w:history="1">
        <w:r>
          <w:rPr>
            <w:rFonts w:ascii="arial" w:eastAsia="arial" w:hAnsi="arial" w:cs="arial"/>
            <w:b/>
            <w:i/>
            <w:strike w:val="0"/>
            <w:noProof w:val="0"/>
            <w:color w:val="0077CC"/>
            <w:position w:val="0"/>
            <w:sz w:val="18"/>
            <w:u w:val="single"/>
            <w:shd w:val="clear" w:color="auto" w:fill="FFFFFF"/>
            <w:vertAlign w:val="baseline"/>
          </w:rPr>
          <w:t>co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.us/NR/rdonlyres/C28C7E0F-0374-4982-8B0E-138C8851BD2F/0/2050MIDemands2050DraftReportFull.pdf</w:t>
        </w:r>
      </w:hyperlink>
      <w:r>
        <w:rPr>
          <w:rFonts w:ascii="arial" w:eastAsia="arial" w:hAnsi="arial" w:cs="arial"/>
          <w:b w:val="0"/>
          <w:i w:val="0"/>
          <w:strike w:val="0"/>
          <w:noProof w:val="0"/>
          <w:color w:val="000000"/>
          <w:position w:val="0"/>
          <w:sz w:val="18"/>
          <w:u w:val="none"/>
          <w:vertAlign w:val="baseline"/>
        </w:rPr>
        <w:t xml:space="preserve"> [hereinafter Projections].</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ES-2.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Projections, supra </w:t>
        </w:r>
      </w:hyperlink>
      <w:r>
        <w:rPr>
          <w:rFonts w:ascii="arial" w:eastAsia="arial" w:hAnsi="arial" w:cs="arial"/>
          <w:b w:val="0"/>
          <w:i w:val="0"/>
          <w:strike w:val="0"/>
          <w:noProof w:val="0"/>
          <w:color w:val="000000"/>
          <w:position w:val="0"/>
          <w:sz w:val="18"/>
          <w:u w:val="none"/>
          <w:vertAlign w:val="baseline"/>
        </w:rPr>
        <w:t xml:space="preserve">note 158, at ES-1.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 29-20-303(1).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Arlo Guthrie, Alice's Restaurant, on Alice's Restaurant (Appleseed Music Inc. 1966) ("Remember Alice? It's a song about Alice.").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309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311.</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310-11.</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312.</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317.</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315.</w:t>
        </w:r>
      </w:hyperlink>
      <w:r>
        <w:rPr>
          <w:rFonts w:ascii="arial" w:eastAsia="arial" w:hAnsi="arial" w:cs="arial"/>
          <w:b w:val="0"/>
          <w:i w:val="0"/>
          <w:strike w:val="0"/>
          <w:noProof w:val="0"/>
          <w:color w:val="000000"/>
          <w:position w:val="0"/>
          <w:sz w:val="18"/>
          <w:u w:val="none"/>
          <w:vertAlign w:val="baseline"/>
        </w:rPr>
        <w:t xml:space="preserve"> As to agricultural irrigation "duty of water" is "that measure of water, which, by careful management and use, without wastage, is reasonably required to be applied to any given tract of land for such period of time as may be adequate to produce therefrom a maximum amount of such crops as ordinarily are grown thereon. It is not a hard and fast unit of measurement, but is variable according to conditions."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634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An element is a required part of where the non-establishment of that fact to the required burden of proof is fatal to the case. Thus, if the Applicant fails to put on proof of the Pagosa elements, then the applicant failed to meet its burden of proof and the application must be dismissed. </w:t>
      </w:r>
      <w:hyperlink r:id="rId25" w:history="1">
        <w:r>
          <w:rPr>
            <w:rFonts w:ascii="arial" w:eastAsia="arial" w:hAnsi="arial" w:cs="arial"/>
            <w:b w:val="0"/>
            <w:i/>
            <w:strike w:val="0"/>
            <w:noProof w:val="0"/>
            <w:color w:val="0077CC"/>
            <w:position w:val="0"/>
            <w:sz w:val="18"/>
            <w:u w:val="single"/>
            <w:shd w:val="clear" w:color="auto" w:fill="FFFFFF"/>
            <w:vertAlign w:val="baseline"/>
          </w:rPr>
          <w:t>Bd. of County Comm'rs of Arapahoe v. United States, 891 P.2d 952, 961 n.9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313.</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"No claim for a water right may be recognized or a decree therefore granted except to the extent that it is established that the waters can be and will be diverted, stored, or otherwise captured, possessed, and controlled and will be beneficially used and that the project can and will be completed with diligence and within a reasonable time." </w:t>
      </w:r>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(2009).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Factors are facts that are not required to prove the case but which courts can consider in determining whether the applicant has established the amount of available water that is reasonably necessary to serve the reasonably anticipated needs of the governmental agency for the planning period above its current supply. Failure of the applicant to present evidence concerning such factors can be considered by the court in determining whether the elements have been met, but such failure is not in themselves dispositive. See </w:t>
      </w:r>
      <w:hyperlink r:id="rId25" w:history="1">
        <w:r>
          <w:rPr>
            <w:rFonts w:ascii="arial" w:eastAsia="arial" w:hAnsi="arial" w:cs="arial"/>
            <w:b w:val="0"/>
            <w:i/>
            <w:strike w:val="0"/>
            <w:noProof w:val="0"/>
            <w:color w:val="0077CC"/>
            <w:position w:val="0"/>
            <w:sz w:val="18"/>
            <w:u w:val="single"/>
            <w:shd w:val="clear" w:color="auto" w:fill="FFFFFF"/>
            <w:vertAlign w:val="baseline"/>
          </w:rPr>
          <w:t>Arapahoe, 891 P.2d at 961 n.9.</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317.</w:t>
        </w:r>
      </w:hyperlink>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318.</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289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320</w:t>
        </w:r>
      </w:hyperlink>
      <w:r>
        <w:rPr>
          <w:rFonts w:ascii="arial" w:eastAsia="arial" w:hAnsi="arial" w:cs="arial"/>
          <w:b w:val="0"/>
          <w:i w:val="0"/>
          <w:strike w:val="0"/>
          <w:noProof w:val="0"/>
          <w:color w:val="000000"/>
          <w:position w:val="0"/>
          <w:sz w:val="18"/>
          <w:u w:val="none"/>
          <w:vertAlign w:val="baseline"/>
        </w:rPr>
        <w:t xml:space="preserve"> (Coats, J., concurring).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321.</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322-323</w:t>
        </w:r>
      </w:hyperlink>
      <w:r>
        <w:rPr>
          <w:rFonts w:ascii="arial" w:eastAsia="arial" w:hAnsi="arial" w:cs="arial"/>
          <w:b w:val="0"/>
          <w:i w:val="0"/>
          <w:strike w:val="0"/>
          <w:noProof w:val="0"/>
          <w:color w:val="000000"/>
          <w:position w:val="0"/>
          <w:sz w:val="18"/>
          <w:u w:val="none"/>
          <w:vertAlign w:val="baseline"/>
        </w:rPr>
        <w:t xml:space="preserve"> (Eid, J., concurring).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323.</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320.</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777-79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Judgment and Decree, Case No. 2004CW085, 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Court, Water Division 7, 2008).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10.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13-14.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Pagosa II, 219 P.3d at 776.</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780-81.</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781, 784-85.</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788.</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784.</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785.</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785-86.</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786;</w:t>
        </w:r>
      </w:hyperlink>
      <w:r>
        <w:rPr>
          <w:rFonts w:ascii="arial" w:eastAsia="arial" w:hAnsi="arial" w:cs="arial"/>
          <w:b w:val="0"/>
          <w:i w:val="0"/>
          <w:strike w:val="0"/>
          <w:noProof w:val="0"/>
          <w:color w:val="000000"/>
          <w:position w:val="0"/>
          <w:sz w:val="18"/>
          <w:u w:val="none"/>
          <w:vertAlign w:val="baseline"/>
        </w:rPr>
        <w:t xml:space="preserve"> see </w:t>
      </w:r>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Rev. Stat.§§29-20-301</w:t>
        </w:r>
      </w:hyperlink>
      <w:r>
        <w:rPr>
          <w:rFonts w:ascii="arial" w:eastAsia="arial" w:hAnsi="arial" w:cs="arial"/>
          <w:b w:val="0"/>
          <w:i w:val="0"/>
          <w:strike w:val="0"/>
          <w:noProof w:val="0"/>
          <w:color w:val="000000"/>
          <w:position w:val="0"/>
          <w:sz w:val="18"/>
          <w:u w:val="none"/>
          <w:vertAlign w:val="baseline"/>
        </w:rPr>
        <w:t xml:space="preserve"> to -306 (2009).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Pagosa II, 219 P.3d at 786;</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Executive, supra </w:t>
        </w:r>
      </w:hyperlink>
      <w:r>
        <w:rPr>
          <w:rFonts w:ascii="arial" w:eastAsia="arial" w:hAnsi="arial" w:cs="arial"/>
          <w:b w:val="0"/>
          <w:i w:val="0"/>
          <w:strike w:val="0"/>
          <w:noProof w:val="0"/>
          <w:color w:val="000000"/>
          <w:position w:val="0"/>
          <w:sz w:val="18"/>
          <w:u w:val="none"/>
          <w:vertAlign w:val="baseline"/>
        </w:rPr>
        <w:t xml:space="preserve">note 147 at 3.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Pagosa II. 219 at 788.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w:t>
      </w:r>
      <w:hyperlink r:id="rId50" w:history="1">
        <w:r>
          <w:rPr>
            <w:rFonts w:ascii="arial" w:eastAsia="arial" w:hAnsi="arial" w:cs="arial"/>
            <w:b w:val="0"/>
            <w:i/>
            <w:strike w:val="0"/>
            <w:noProof w:val="0"/>
            <w:color w:val="0077CC"/>
            <w:position w:val="0"/>
            <w:sz w:val="18"/>
            <w:u w:val="single"/>
            <w:shd w:val="clear" w:color="auto" w:fill="FFFFFF"/>
            <w:vertAlign w:val="baseline"/>
          </w:rPr>
          <w:t>Chevron U.S.A., Inc. v. Natural Res. Def. Council, 467 U.S. 837, 866 (1984).</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Nelson v. Farr, 354 P.2d 163, 165-66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1960).</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City &amp; County of Denver v. Holmes, 400 P.2d 901, 904 (</w:t>
        </w:r>
      </w:hyperlink>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Bennett Bear Creek Farm Water &amp; Sanitation Dist. v. City &amp; County of Denver, 928 P.2d 1254, 1265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Rev. Stat. § 38-6-105</w:t>
        </w:r>
      </w:hyperlink>
      <w:r>
        <w:rPr>
          <w:rFonts w:ascii="arial" w:eastAsia="arial" w:hAnsi="arial" w:cs="arial"/>
          <w:b w:val="0"/>
          <w:i w:val="0"/>
          <w:strike w:val="0"/>
          <w:noProof w:val="0"/>
          <w:color w:val="000000"/>
          <w:position w:val="0"/>
          <w:sz w:val="18"/>
          <w:u w:val="none"/>
          <w:vertAlign w:val="baseline"/>
        </w:rPr>
        <w:t xml:space="preserve"> (2009);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Farmers Reservoir &amp; Irrigation </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575 P.2d 382, 394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 xml:space="preserve"> According to the dissent, the majority allowed home rule municipalities to condemn water rights and water facilities regardless of necessity as projected over a reasonable period of time, subject only to review for fraud or bad faith.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841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City of Thornton v. Bijou Irrigation Dist., 926 P.2d 1, 52-53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307, 317-318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w:t>
      </w:r>
      <w:hyperlink r:id="rId52" w:history="1">
        <w:r>
          <w:rPr>
            <w:rFonts w:ascii="arial" w:eastAsia="arial" w:hAnsi="arial" w:cs="arial"/>
            <w:b w:val="0"/>
            <w:i/>
            <w:strike w:val="0"/>
            <w:noProof w:val="0"/>
            <w:color w:val="0077CC"/>
            <w:position w:val="0"/>
            <w:sz w:val="18"/>
            <w:u w:val="single"/>
            <w:shd w:val="clear" w:color="auto" w:fill="FFFFFF"/>
            <w:vertAlign w:val="baseline"/>
          </w:rPr>
          <w:t>Holmes, 400 P.2d at 904</w:t>
        </w:r>
      </w:hyperlink>
      <w:r>
        <w:rPr>
          <w:rFonts w:ascii="arial" w:eastAsia="arial" w:hAnsi="arial" w:cs="arial"/>
          <w:b w:val="0"/>
          <w:i w:val="0"/>
          <w:strike w:val="0"/>
          <w:noProof w:val="0"/>
          <w:color w:val="000000"/>
          <w:position w:val="0"/>
          <w:sz w:val="18"/>
          <w:u w:val="none"/>
          <w:vertAlign w:val="baseline"/>
        </w:rPr>
        <w:t xml:space="preserve"> (dissenting, Justice Frantz remarked "[a] vigilant, dutiful judiciary should recognize its sphere of operation and readily restrain itself from any inchmeal intrusion on that which properly belongs to another branch of government.");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288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(holding that courts should not substitute its judgments for that of the government's in water supply determinations); </w:t>
      </w:r>
      <w:hyperlink r:id="rId3" w:history="1">
        <w:r>
          <w:rPr>
            <w:rFonts w:ascii="arial" w:eastAsia="arial" w:hAnsi="arial" w:cs="arial"/>
            <w:b w:val="0"/>
            <w:i/>
            <w:strike w:val="0"/>
            <w:noProof w:val="0"/>
            <w:color w:val="0077CC"/>
            <w:position w:val="0"/>
            <w:sz w:val="18"/>
            <w:u w:val="single"/>
            <w:shd w:val="clear" w:color="auto" w:fill="FFFFFF"/>
            <w:vertAlign w:val="baseline"/>
          </w:rPr>
          <w:t>Sheriff, 96 P.2d at 840, 844</w:t>
        </w:r>
      </w:hyperlink>
      <w:r>
        <w:rPr>
          <w:rFonts w:ascii="arial" w:eastAsia="arial" w:hAnsi="arial" w:cs="arial"/>
          <w:b w:val="0"/>
          <w:i w:val="0"/>
          <w:strike w:val="0"/>
          <w:noProof w:val="0"/>
          <w:color w:val="000000"/>
          <w:position w:val="0"/>
          <w:sz w:val="18"/>
          <w:u w:val="none"/>
          <w:vertAlign w:val="baseline"/>
        </w:rPr>
        <w:t xml:space="preserve"> (holding that "the furnishing of an adequate supply of water … requires managerial judgment … . The restrictions involved here, would be an arbitrary violation of vested property rights of the city.").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 37-60-126(1)(g) (providing that ""Water conservation' means water use efficiency, wise water use, water transmission and distribution system efficiency, and supply substitution. The objective of water conservation is a long-term increase in the productive use of water supply in order to satisfy water supply needs without compromising desired water services.").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Pagosa I, 170 P.3d at 317.</w:t>
        </w:r>
      </w:hyperlink>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 37-92-103(4).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 37-60-126(1)(b), (2)(a).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 37-60-126(4)(a)-(e). </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Drought Mitigation Planning, </w:t>
      </w:r>
      <w:hyperlink r:id="rId5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.us/Conservation/DroughtPlanning/DroughtMit</w:t>
        </w:r>
      </w:hyperlink>
      <w:r>
        <w:rPr>
          <w:rFonts w:ascii="arial" w:eastAsia="arial" w:hAnsi="arial" w:cs="arial"/>
          <w:b w:val="0"/>
          <w:i w:val="0"/>
          <w:strike w:val="0"/>
          <w:noProof w:val="0"/>
          <w:color w:val="000000"/>
          <w:position w:val="0"/>
          <w:sz w:val="18"/>
          <w:u w:val="none"/>
          <w:vertAlign w:val="baseline"/>
        </w:rPr>
        <w:t xml:space="preserve"> igationPlanning/DroughtMitigationPlanning.htm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Drought] (stating that "[a] Water Conservation Plan can be defined as a strategy or combination of strategies for reducing the volume of water withdrawn from a water supply source, for reducing the loss or waste of water, for maintaining or improving the efficiency in the use of water, and for increasing the reuse of water") (last visited Jan. 31, 2010).</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 37-60-126(5).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 37-60-126(4)(a).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Drought, supra </w:t>
        </w:r>
      </w:hyperlink>
      <w:r>
        <w:rPr>
          <w:rFonts w:ascii="arial" w:eastAsia="arial" w:hAnsi="arial" w:cs="arial"/>
          <w:b w:val="0"/>
          <w:i w:val="0"/>
          <w:strike w:val="0"/>
          <w:noProof w:val="0"/>
          <w:color w:val="000000"/>
          <w:position w:val="0"/>
          <w:sz w:val="18"/>
          <w:u w:val="none"/>
          <w:vertAlign w:val="baseline"/>
        </w:rPr>
        <w:t xml:space="preserve">note 220.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For example, in 2002, Denver Water Board imposed drought restrictions that precluded the watering of new sod and restricted watering of golf courses to only tees and greens. The landscaping industry suffered economic harm and in some cases golf courses had to replace fairways. See Tom Kensler, Dirt-Poor Condition Water Restrictions Deny Golf Course Operators Chance to Save Fairways, The Denver Post, May 1, 2003, at D-10 (asserting the Denver Water Board's restriction on watering "all areas except tee boxes and greens … . And … total water usage … limited to 50 percent of the amount the course used in 2001" resulted in the loss of several golf fairways in the Denver area); Jerd Smith, Tough Choices, Rocky Mountain News, Apr. 17, 2003, at 12A (reporting on the Denver Water Board's decisions on "plea after plea from landscapers, sod growers, and golfers.").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317-19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generally </w:t>
      </w:r>
      <w:hyperlink r:id="rId2" w:history="1">
        <w:r>
          <w:rPr>
            <w:rFonts w:ascii="arial" w:eastAsia="arial" w:hAnsi="arial" w:cs="arial"/>
            <w:b w:val="0"/>
            <w:i/>
            <w:strike w:val="0"/>
            <w:noProof w:val="0"/>
            <w:color w:val="0077CC"/>
            <w:position w:val="0"/>
            <w:sz w:val="18"/>
            <w:u w:val="single"/>
            <w:shd w:val="clear" w:color="auto" w:fill="FFFFFF"/>
            <w:vertAlign w:val="baseline"/>
          </w:rPr>
          <w:t>id. at 317-319.</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William Y. Davis, Water Demand Forecast Methodology for California Water Planning Areas 1-2 (2003) (showing that commercial activity, industrial activity, and urban water efficiency are all factors affecting water demand).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"Built out" is a future event when all undeveloped land is fully developed. However, even fully developed lands can accommodate future growth and additional water supplies with increased density.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E-mail from Doug L. Jeavons, Managing Director BBC Research &amp; Consulting, to Casey S. Funk, Denver Water (Jan. 4, 2010, 10:30:00 MST) (on file with author).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John Bougadis, Kaz Adamowski &amp; Roman Diduch, Short-Term Municipal Water Demand Forecasting, 19 Hydrological Processes 137, 143-47 (2005).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id.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id.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840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288 (1961).</w:t>
        </w:r>
      </w:hyperlink>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318 n.10;</w:t>
        </w:r>
      </w:hyperlink>
      <w:r>
        <w:rPr>
          <w:rFonts w:ascii="arial" w:eastAsia="arial" w:hAnsi="arial" w:cs="arial"/>
          <w:b w:val="0"/>
          <w:i w:val="0"/>
          <w:strike w:val="0"/>
          <w:noProof w:val="0"/>
          <w:color w:val="000000"/>
          <w:position w:val="0"/>
          <w:sz w:val="18"/>
          <w:u w:val="none"/>
          <w:vertAlign w:val="baseline"/>
        </w:rPr>
        <w:t xml:space="preserve"> Daniel S. Young &amp; Duane D. Helton, Developing a Water Supply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Role of an Engineer, </w:t>
      </w:r>
      <w:hyperlink r:id="rId55" w:history="1">
        <w:r>
          <w:rPr>
            <w:rFonts w:ascii="arial" w:eastAsia="arial" w:hAnsi="arial" w:cs="arial"/>
            <w:b w:val="0"/>
            <w:i/>
            <w:strike w:val="0"/>
            <w:noProof w:val="0"/>
            <w:color w:val="0077CC"/>
            <w:position w:val="0"/>
            <w:sz w:val="18"/>
            <w:u w:val="single"/>
            <w:shd w:val="clear" w:color="auto" w:fill="FFFFFF"/>
            <w:vertAlign w:val="baseline"/>
          </w:rPr>
          <w:t>3 U. Denv. Water L. Rev. 373, 377 (2000).</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377.</w:t>
        </w:r>
      </w:hyperlink>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w:t>
      </w:r>
      <w:hyperlink r:id="rId55" w:history="1">
        <w:r>
          <w:rPr>
            <w:rFonts w:ascii="arial" w:eastAsia="arial" w:hAnsi="arial" w:cs="arial"/>
            <w:b w:val="0"/>
            <w:i/>
            <w:strike w:val="0"/>
            <w:noProof w:val="0"/>
            <w:color w:val="0077CC"/>
            <w:position w:val="0"/>
            <w:sz w:val="18"/>
            <w:u w:val="single"/>
            <w:shd w:val="clear" w:color="auto" w:fill="FFFFFF"/>
            <w:vertAlign w:val="baseline"/>
          </w:rPr>
          <w:t>id. at 377-378.</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w:t>
      </w:r>
      <w:hyperlink r:id="rId55" w:history="1">
        <w:r>
          <w:rPr>
            <w:rFonts w:ascii="arial" w:eastAsia="arial" w:hAnsi="arial" w:cs="arial"/>
            <w:b w:val="0"/>
            <w:i/>
            <w:strike w:val="0"/>
            <w:noProof w:val="0"/>
            <w:color w:val="0077CC"/>
            <w:position w:val="0"/>
            <w:sz w:val="18"/>
            <w:u w:val="single"/>
            <w:shd w:val="clear" w:color="auto" w:fill="FFFFFF"/>
            <w:vertAlign w:val="baseline"/>
          </w:rPr>
          <w:t>id. at 378.</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e.g., </w:t>
      </w:r>
      <w:hyperlink r:id="rId56" w:history="1">
        <w:r>
          <w:rPr>
            <w:rFonts w:ascii="arial" w:eastAsia="arial" w:hAnsi="arial" w:cs="arial"/>
            <w:b w:val="0"/>
            <w:i/>
            <w:strike w:val="0"/>
            <w:noProof w:val="0"/>
            <w:color w:val="0077CC"/>
            <w:position w:val="0"/>
            <w:sz w:val="18"/>
            <w:u w:val="single"/>
            <w:shd w:val="clear" w:color="auto" w:fill="FFFFFF"/>
            <w:vertAlign w:val="baseline"/>
          </w:rPr>
          <w:t>Upper Eagle Reg'l Water Auth. v. Simpson, 167 P.3d 729, 731-34 (</w:t>
        </w:r>
      </w:hyperlink>
      <w:hyperlink r:id="rId56" w:history="1">
        <w:r>
          <w:rPr>
            <w:rFonts w:ascii="arial" w:eastAsia="arial" w:hAnsi="arial" w:cs="arial"/>
            <w:b/>
            <w:i/>
            <w:strike w:val="0"/>
            <w:noProof w:val="0"/>
            <w:color w:val="0077CC"/>
            <w:position w:val="0"/>
            <w:sz w:val="18"/>
            <w:u w:val="single"/>
            <w:shd w:val="clear" w:color="auto" w:fill="FFFFFF"/>
            <w:vertAlign w:val="baseline"/>
          </w:rPr>
          <w:t>Colo.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(involving municipality which operates its system through an augmentation plan).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841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(stating that a senior water right holder may not confer his senior water rights to a junior user out of priority without justifying his actions).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E-mail from Robert G. Steger Manager of Raw Water Supply, to Casey S. Funk, Denver Water (Mar. 4, 2010, 5:37:00 MST) (on file with author).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Denver Water, An Integrated Water Resource Plan 40 (2002), </w:t>
      </w:r>
      <w:hyperlink r:id="rId57" w:history="1">
        <w:r>
          <w:rPr>
            <w:rFonts w:ascii="arial" w:eastAsia="arial" w:hAnsi="arial" w:cs="arial"/>
            <w:b w:val="0"/>
            <w:i/>
            <w:strike w:val="0"/>
            <w:noProof w:val="0"/>
            <w:color w:val="0077CC"/>
            <w:position w:val="0"/>
            <w:sz w:val="18"/>
            <w:u w:val="single"/>
            <w:shd w:val="clear" w:color="auto" w:fill="FFFFFF"/>
            <w:vertAlign w:val="baseline"/>
          </w:rPr>
          <w:t>http://www.denverwater.org/docs/assets/DDA6502B-BCDF-1B42-D6B27D086AD6731A/MasterDocIRPOnline1.pdf</w:t>
        </w:r>
      </w:hyperlink>
      <w:r>
        <w:rPr>
          <w:rFonts w:ascii="arial" w:eastAsia="arial" w:hAnsi="arial" w:cs="arial"/>
          <w:b w:val="0"/>
          <w:i w:val="0"/>
          <w:strike w:val="0"/>
          <w:noProof w:val="0"/>
          <w:color w:val="000000"/>
          <w:position w:val="0"/>
          <w:sz w:val="18"/>
          <w:u w:val="none"/>
          <w:vertAlign w:val="baseline"/>
        </w:rPr>
        <w:t>.; see also Young &amp; Helton, supra note 236 at 381 ("Many larger municipalities have historical water use data that are used to develop more accurate water use estimates, which can also be used to project future municipal water needs.").</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14, 42.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Tree ring studies have confirmed occurrences of drought conditions more severe than the past 100 years of gauged data. See Woodhouse, supra note 141 at 354; Connie A. Woodhouse &amp; Jeffrey J. Lukas, Multi-Century Tree-Ring Reconstructions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Streamflow for Water Resource Planning, 78 Climatic Change 293, 293-94 (2006); David M. Meko et al., Medieval Drought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Geophysical Research Letters (2007), </w:t>
      </w:r>
      <w:hyperlink r:id="rId58" w:history="1">
        <w:r>
          <w:rPr>
            <w:rFonts w:ascii="arial" w:eastAsia="arial" w:hAnsi="arial" w:cs="arial"/>
            <w:b w:val="0"/>
            <w:i/>
            <w:strike w:val="0"/>
            <w:noProof w:val="0"/>
            <w:color w:val="0077CC"/>
            <w:position w:val="0"/>
            <w:sz w:val="18"/>
            <w:u w:val="single"/>
            <w:shd w:val="clear" w:color="auto" w:fill="FFFFFF"/>
            <w:vertAlign w:val="baseline"/>
          </w:rPr>
          <w:t>https://portal.azoah.com/oedf/documents/08A-AWS001-DWR/Omnia/20070524%20Meko%20et%20al%20Medieval%20Drought%20CO%2</w:t>
        </w:r>
      </w:hyperlink>
      <w:r>
        <w:rPr>
          <w:rFonts w:ascii="arial" w:eastAsia="arial" w:hAnsi="arial" w:cs="arial"/>
          <w:b w:val="0"/>
          <w:i w:val="0"/>
          <w:strike w:val="0"/>
          <w:noProof w:val="0"/>
          <w:color w:val="000000"/>
          <w:position w:val="0"/>
          <w:sz w:val="18"/>
          <w:u w:val="none"/>
          <w:vertAlign w:val="baseline"/>
        </w:rPr>
        <w:t xml:space="preserve"> 0River.pdf.</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Currently, eight percent of Denver Water Board's current estimated firm yield. Denver Water, An Integrated Water Resource Plan 9, 7, 69 (2002), </w:t>
      </w:r>
      <w:hyperlink r:id="rId57" w:history="1">
        <w:r>
          <w:rPr>
            <w:rFonts w:ascii="arial" w:eastAsia="arial" w:hAnsi="arial" w:cs="arial"/>
            <w:b w:val="0"/>
            <w:i/>
            <w:strike w:val="0"/>
            <w:noProof w:val="0"/>
            <w:color w:val="0077CC"/>
            <w:position w:val="0"/>
            <w:sz w:val="18"/>
            <w:u w:val="single"/>
            <w:shd w:val="clear" w:color="auto" w:fill="FFFFFF"/>
            <w:vertAlign w:val="baseline"/>
          </w:rPr>
          <w:t>http://www.denverwater.org/docs/assets/DDA6502B-BCDF-1B42-D6B27D086AD6731A/MasterDocIRPOnline1.pdf</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Yield has various meanings. Firm/dry/reliable yield is the amount of water that the water rights and facilities of a municipality can produce in a dry hydrologic period. Average yield is the amount of water that water rights and facilities in a normal hydrologic period can produce. All things being equal, average hydrologic conditions will yield more water than dry hydrologic conditions but average yield will be less reliable than firm yield. See generally W. B. Langbein &amp; Kathleen T.Iseri, General Introduction &amp; Hydrologic Definitions (1995) available at </w:t>
      </w:r>
      <w:hyperlink r:id="rId59" w:history="1">
        <w:r>
          <w:rPr>
            <w:rFonts w:ascii="arial" w:eastAsia="arial" w:hAnsi="arial" w:cs="arial"/>
            <w:b w:val="0"/>
            <w:i/>
            <w:strike w:val="0"/>
            <w:noProof w:val="0"/>
            <w:color w:val="0077CC"/>
            <w:position w:val="0"/>
            <w:sz w:val="18"/>
            <w:u w:val="single"/>
            <w:shd w:val="clear" w:color="auto" w:fill="FFFFFF"/>
            <w:vertAlign w:val="baseline"/>
          </w:rPr>
          <w:t>http://water.usgs.gov/wsc/glossary.html</w:t>
        </w:r>
      </w:hyperlink>
      <w:r>
        <w:rPr>
          <w:rFonts w:ascii="arial" w:eastAsia="arial" w:hAnsi="arial" w:cs="arial"/>
          <w:b w:val="0"/>
          <w:i w:val="0"/>
          <w:strike w:val="0"/>
          <w:noProof w:val="0"/>
          <w:color w:val="000000"/>
          <w:position w:val="0"/>
          <w:sz w:val="18"/>
          <w:u w:val="none"/>
          <w:vertAlign w:val="baseline"/>
        </w:rPr>
        <w:t xml:space="preserve"> (defining "Water Yield"); B. Srdjevic, Y. D. P. Medeiros &amp; A. S. Faria, An Objective Multi-Criteria Evaluation of Water Management Scenarios, 18 Water Resources Management 35, 42 (2004) (discussing how to calculate "firm yield.").</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Rev. Stat. § 31-15-708</w:t>
        </w:r>
      </w:hyperlink>
      <w:r>
        <w:rPr>
          <w:rFonts w:ascii="arial" w:eastAsia="arial" w:hAnsi="arial" w:cs="arial"/>
          <w:b w:val="0"/>
          <w:i w:val="0"/>
          <w:strike w:val="0"/>
          <w:noProof w:val="0"/>
          <w:color w:val="000000"/>
          <w:position w:val="0"/>
          <w:sz w:val="18"/>
          <w:u w:val="none"/>
          <w:vertAlign w:val="baseline"/>
        </w:rPr>
        <w:t xml:space="preserve"> (2009). </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generally § 37-92-102(1)(a) (not altering governmental powers of appropriation set forth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constitution).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Ironically, the General Assembly only authorized governmental agencies to make such appropriations. §§37-92-102(3), (5).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315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(en banc); </w:t>
      </w:r>
      <w:hyperlink r:id="rId7" w:history="1">
        <w:r>
          <w:rPr>
            <w:rFonts w:ascii="arial" w:eastAsia="arial" w:hAnsi="arial" w:cs="arial"/>
            <w:b w:val="0"/>
            <w:i/>
            <w:strike w:val="0"/>
            <w:noProof w:val="0"/>
            <w:color w:val="0077CC"/>
            <w:position w:val="0"/>
            <w:sz w:val="18"/>
            <w:u w:val="single"/>
            <w:shd w:val="clear" w:color="auto" w:fill="FFFFFF"/>
            <w:vertAlign w:val="baseline"/>
          </w:rPr>
          <w:t>City of Thornton v. Bijou Irrigation Dist., 926 P.2d 1, 39 n.25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Mesa Verde - The First 100 Years, 37 (Rose Houck &amp; Faith Marcovecchio eds., Mesa Verde Museum Ass'n) (2006); Woodhouse, supra note 141 at 351.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PAGOSA--THE GREAT AND GROWING CITIES DOCTRINE IMPERILED: AN OBJECTIVE LOOK FROM A BIASED PERSPECTIVE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61P5-WX51-DYDC-J4WT-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cases&amp;id=urn:contentItem:3RX4-1F60-003D-928V-00000-00&amp;context=1516831" TargetMode="External" /><Relationship Id="rId14" Type="http://schemas.openxmlformats.org/officeDocument/2006/relationships/hyperlink" Target="https://advance.lexis.com/api/document?collection=statutes-legislation&amp;id=urn:contentItem:8T9R-T372-8T6X-731R-00000-00&amp;context=1516831" TargetMode="External" /><Relationship Id="rId15" Type="http://schemas.openxmlformats.org/officeDocument/2006/relationships/hyperlink" Target="https://advance.lexis.com/api/document?collection=statutes-legislation&amp;id=urn:contentItem:689F-SY73-CGX8-03R2-00000-00&amp;context=1516831" TargetMode="External" /><Relationship Id="rId16" Type="http://schemas.openxmlformats.org/officeDocument/2006/relationships/hyperlink" Target="https://advance.lexis.com/api/document?collection=statutes-legislation&amp;id=urn:contentItem:8T9R-T3H2-D6RV-H37G-00000-00&amp;context=1516831" TargetMode="External" /><Relationship Id="rId17" Type="http://schemas.openxmlformats.org/officeDocument/2006/relationships/hyperlink" Target="https://advance.lexis.com/api/document?collection=statutes-legislation&amp;id=urn:contentItem:8T9R-T3X2-8T6X-731X-00000-00&amp;context=1516831"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0GM-G420-00SW-502S-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XM0-4FD0-TXFN-N2RK-00000-00&amp;context=1516831" TargetMode="External" /><Relationship Id="rId10" Type="http://schemas.openxmlformats.org/officeDocument/2006/relationships/hyperlink" Target="https://advance.lexis.com/api/document?collection=statutes-legislation&amp;id=urn:contentItem:5BB3-WN41-66P3-2103-00000-00&amp;context=1516831" TargetMode="External" /><Relationship Id="rId11" Type="http://schemas.openxmlformats.org/officeDocument/2006/relationships/hyperlink" Target="http://www.denverwater.org/Recreation/Dillon/" TargetMode="External" /><Relationship Id="rId12" Type="http://schemas.openxmlformats.org/officeDocument/2006/relationships/hyperlink" Target="https://advance.lexis.com/api/document?collection=statutes-legislation&amp;id=urn:contentItem:61P5-WY01-DYDC-J2PH-00000-00&amp;context=1516831" TargetMode="External" /><Relationship Id="rId13" Type="http://schemas.openxmlformats.org/officeDocument/2006/relationships/hyperlink" Target="https://advance.lexis.com/api/document?collection=statutes-legislation&amp;id=urn:contentItem:61P5-WY01-DYDC-J3FM-00000-00&amp;context=1516831" TargetMode="External" /><Relationship Id="rId14" Type="http://schemas.openxmlformats.org/officeDocument/2006/relationships/hyperlink" Target="https://advance.lexis.com/api/document?collection=cases&amp;id=urn:contentItem:45JB-PD10-0039-42DB-00000-00&amp;context=1516831" TargetMode="External" /><Relationship Id="rId15" Type="http://schemas.openxmlformats.org/officeDocument/2006/relationships/hyperlink" Target="https://advance.lexis.com/api/document?collection=cases&amp;id=urn:contentItem:3RX4-1620-003D-90RY-00000-00&amp;context=1516831" TargetMode="External" /><Relationship Id="rId16" Type="http://schemas.openxmlformats.org/officeDocument/2006/relationships/hyperlink" Target="https://advance.lexis.com/api/document?collection=analytical-materials&amp;id=urn:contentItem:3SHB-71S0-00CV-N1PY-00000-00&amp;context=1516831" TargetMode="External" /><Relationship Id="rId17" Type="http://schemas.openxmlformats.org/officeDocument/2006/relationships/hyperlink" Target="https://advance.lexis.com/api/document?collection=cases&amp;id=urn:contentItem:3RX4-1F60-003D-928V-00000-00&amp;context=1516831" TargetMode="External" /><Relationship Id="rId18" Type="http://schemas.openxmlformats.org/officeDocument/2006/relationships/hyperlink" Target="https://advance.lexis.com/api/document?collection=cases&amp;id=urn:contentItem:3RX4-1F70-003D-9292-00000-00&amp;context=1516831" TargetMode="External" /><Relationship Id="rId19" Type="http://schemas.openxmlformats.org/officeDocument/2006/relationships/hyperlink" Target="https://advance.lexis.com/api/document?collection=statutes-legislation&amp;id=urn:contentItem:68BY-DJC3-GXF6-82XJ-00000-00&amp;context=1516831" TargetMode="External" /><Relationship Id="rId2" Type="http://schemas.openxmlformats.org/officeDocument/2006/relationships/hyperlink" Target="https://advance.lexis.com/api/document?collection=cases&amp;id=urn:contentItem:4R1D-NB00-TX4N-G0TY-00000-00&amp;context=1516831" TargetMode="External" /><Relationship Id="rId20" Type="http://schemas.openxmlformats.org/officeDocument/2006/relationships/hyperlink" Target="http://www.ci.golden.co.us/Page.asp?NavID=680" TargetMode="External" /><Relationship Id="rId21" Type="http://schemas.openxmlformats.org/officeDocument/2006/relationships/hyperlink" Target="https://advance.lexis.com/api/document?collection=cases&amp;id=urn:contentItem:4H5W-07R0-0039-427V-00000-00&amp;context=1516831" TargetMode="External" /><Relationship Id="rId22" Type="http://schemas.openxmlformats.org/officeDocument/2006/relationships/hyperlink" Target="https://advance.lexis.com/api/document?collection=analytical-materials&amp;id=urn:contentItem:4VWJ-C0K0-00SW-50B3-00000-00&amp;context=1516831" TargetMode="External" /><Relationship Id="rId23" Type="http://schemas.openxmlformats.org/officeDocument/2006/relationships/hyperlink" Target="https://advance.lexis.com/api/document?collection=cases&amp;id=urn:contentItem:3RX4-18G0-003D-916Y-00000-00&amp;context=1516831" TargetMode="External" /><Relationship Id="rId24" Type="http://schemas.openxmlformats.org/officeDocument/2006/relationships/hyperlink" Target="http://www.state.co.us/courts/sctlib/77.htm" TargetMode="External" /><Relationship Id="rId25" Type="http://schemas.openxmlformats.org/officeDocument/2006/relationships/hyperlink" Target="https://advance.lexis.com/api/document?collection=cases&amp;id=urn:contentItem:3RX4-02X0-003D-92Y7-00000-00&amp;context=1516831" TargetMode="External" /><Relationship Id="rId26" Type="http://schemas.openxmlformats.org/officeDocument/2006/relationships/hyperlink" Target="https://advance.lexis.com/api/document?collection=cases&amp;id=urn:contentItem:3RX4-16G0-003D-90VC-00000-00&amp;context=1516831" TargetMode="External" /><Relationship Id="rId27" Type="http://schemas.openxmlformats.org/officeDocument/2006/relationships/hyperlink" Target="https://advance.lexis.com/api/document?collection=statutes-legislation&amp;id=urn:contentItem:61P5-WY01-DYDC-J3FV-00000-00&amp;context=1516831" TargetMode="External" /><Relationship Id="rId28" Type="http://schemas.openxmlformats.org/officeDocument/2006/relationships/hyperlink" Target="https://advance.lexis.com/api/document?collection=cases&amp;id=urn:contentItem:3RVC-0VG0-003G-6328-00000-00&amp;context=1516831" TargetMode="External" /><Relationship Id="rId29" Type="http://schemas.openxmlformats.org/officeDocument/2006/relationships/hyperlink" Target="https://advance.lexis.com/api/document?collection=cases&amp;id=urn:contentItem:3RX4-10B0-003D-94X4-00000-00&amp;context=1516831" TargetMode="External" /><Relationship Id="rId3" Type="http://schemas.openxmlformats.org/officeDocument/2006/relationships/hyperlink" Target="https://advance.lexis.com/api/document?collection=cases&amp;id=urn:contentItem:3RRM-Y2M0-0040-011T-00000-00&amp;context=1516831" TargetMode="External" /><Relationship Id="rId30" Type="http://schemas.openxmlformats.org/officeDocument/2006/relationships/hyperlink" Target="https://advance.lexis.com/api/document?collection=cases&amp;id=urn:contentItem:4B7P-R660-0039-4529-00000-00&amp;context=1516831" TargetMode="External" /><Relationship Id="rId31" Type="http://schemas.openxmlformats.org/officeDocument/2006/relationships/hyperlink" Target="https://advance.lexis.com/api/document?collection=cases&amp;id=urn:contentItem:4FTH-29N0-0039-42PY-00000-00&amp;context=1516831" TargetMode="External" /><Relationship Id="rId32" Type="http://schemas.openxmlformats.org/officeDocument/2006/relationships/hyperlink" Target="https://advance.lexis.com/api/document?collection=statutes-legislation&amp;id=urn:contentItem:689F-SN93-GXF6-81VM-00000-00&amp;context=1516831" TargetMode="External" /><Relationship Id="rId33" Type="http://schemas.openxmlformats.org/officeDocument/2006/relationships/hyperlink" Target="https://advance.lexis.com/api/document?collection=cases&amp;id=urn:contentItem:3RX3-YV50-003D-911C-00000-00&amp;context=1516831" TargetMode="External" /><Relationship Id="rId34" Type="http://schemas.openxmlformats.org/officeDocument/2006/relationships/hyperlink" Target="http://www.denverwater.org/OperatingRules/OperRulesArticleX/" TargetMode="External" /><Relationship Id="rId35" Type="http://schemas.openxmlformats.org/officeDocument/2006/relationships/hyperlink" Target="https://advance.lexis.com/api/document?collection=cases&amp;id=urn:contentItem:3RX4-12N0-003D-904B-00000-00&amp;context=1516831" TargetMode="External" /><Relationship Id="rId36" Type="http://schemas.openxmlformats.org/officeDocument/2006/relationships/hyperlink" Target="https://advance.lexis.com/api/document?collection=cases&amp;id=urn:contentItem:3RX4-1H10-003D-92PN-00000-00&amp;context=1516831" TargetMode="External" /><Relationship Id="rId37" Type="http://schemas.openxmlformats.org/officeDocument/2006/relationships/hyperlink" Target="https://advance.lexis.com/api/document?collection=cases&amp;id=urn:contentItem:3S4V-RGY0-0054-640P-00000-00&amp;context=1516831" TargetMode="External" /><Relationship Id="rId38" Type="http://schemas.openxmlformats.org/officeDocument/2006/relationships/hyperlink" Target="https://advance.lexis.com/api/document?collection=analytical-materials&amp;id=urn:contentItem:45V7-D0W0-00CV-N0GJ-00000-00&amp;context=1516831" TargetMode="External" /><Relationship Id="rId39" Type="http://schemas.openxmlformats.org/officeDocument/2006/relationships/hyperlink" Target="http://water.state.co.us/pubs/annualreport/annlrpt_2002" TargetMode="External" /><Relationship Id="rId4" Type="http://schemas.openxmlformats.org/officeDocument/2006/relationships/hyperlink" Target="https://advance.lexis.com/api/document?collection=cases&amp;id=urn:contentItem:3RRM-WX60-0040-011K-00000-00&amp;context=1516831" TargetMode="External" /><Relationship Id="rId40" Type="http://schemas.openxmlformats.org/officeDocument/2006/relationships/hyperlink" Target="http://www.usbr.gov/uc/feature/drought.html" TargetMode="External" /><Relationship Id="rId41" Type="http://schemas.openxmlformats.org/officeDocument/2006/relationships/hyperlink" Target="http://www.denverwater.org/docs/assets/E6522765-BCDF-1B42-D942C93720CC0ED0/AnnualReport20021.pdf" TargetMode="External" /><Relationship Id="rId42" Type="http://schemas.openxmlformats.org/officeDocument/2006/relationships/hyperlink" Target="http://drought.unl.edu/monitor" TargetMode="External" /><Relationship Id="rId43" Type="http://schemas.openxmlformats.org/officeDocument/2006/relationships/hyperlink" Target="http://cwcb.state.co.us/IWMD/SWSITechnicalResources/" TargetMode="External" /><Relationship Id="rId44" Type="http://schemas.openxmlformats.org/officeDocument/2006/relationships/hyperlink" Target="http://cwcb.state.co.us/NR/rdonlyres/7D87609A-1CE6-4E16-ABF4-DD34878F0E33/0/ExecSummaryReport111504.pdf" TargetMode="External" /><Relationship Id="rId45" Type="http://schemas.openxmlformats.org/officeDocument/2006/relationships/hyperlink" Target="https://advance.lexis.com/api/document?collection=statutes-legislation&amp;id=urn:contentItem:62NH-WRN3-CH1B-T2RX-00000-00&amp;context=1516831" TargetMode="External" /><Relationship Id="rId46" Type="http://schemas.openxmlformats.org/officeDocument/2006/relationships/hyperlink" Target="https://advance.lexis.com/api/document?collection=statutes-legislation&amp;id=urn:contentItem:61P5-WY01-DYDC-J355-00000-00&amp;context=1516831" TargetMode="External" /><Relationship Id="rId47" Type="http://schemas.openxmlformats.org/officeDocument/2006/relationships/hyperlink" Target="http://cwcb.state.co.us/NR/rdonlyres/C28C7E0F-0374-4982-8B0E-138C8851BD2F/0/2050MIDemands2050DraftReportFull.pdf" TargetMode="External" /><Relationship Id="rId48" Type="http://schemas.openxmlformats.org/officeDocument/2006/relationships/hyperlink" Target="https://advance.lexis.com/api/document?collection=statutes-legislation&amp;id=urn:contentItem:61P5-WY01-DYDC-J3G3-00000-00&amp;context=1516831" TargetMode="External" /><Relationship Id="rId49" Type="http://schemas.openxmlformats.org/officeDocument/2006/relationships/hyperlink" Target="https://advance.lexis.com/api/document?collection=statutes-legislation&amp;id=urn:contentItem:61P5-WWT1-DYDC-J18G-00000-00&amp;context=1516831" TargetMode="External" /><Relationship Id="rId5" Type="http://schemas.openxmlformats.org/officeDocument/2006/relationships/hyperlink" Target="https://advance.lexis.com/api/document?collection=cases&amp;id=urn:contentItem:7X45-9TG0-YB0H-9002-00000-00&amp;context=1516831" TargetMode="External" /><Relationship Id="rId50" Type="http://schemas.openxmlformats.org/officeDocument/2006/relationships/hyperlink" Target="https://advance.lexis.com/api/document?collection=cases&amp;id=urn:contentItem:3S4X-3BF0-003B-S30X-00000-00&amp;context=1516831" TargetMode="External" /><Relationship Id="rId51" Type="http://schemas.openxmlformats.org/officeDocument/2006/relationships/hyperlink" Target="https://advance.lexis.com/api/document?collection=cases&amp;id=urn:contentItem:3RRM-X210-0040-01KJ-00000-00&amp;context=1516831" TargetMode="External" /><Relationship Id="rId52" Type="http://schemas.openxmlformats.org/officeDocument/2006/relationships/hyperlink" Target="https://advance.lexis.com/api/document?collection=cases&amp;id=urn:contentItem:3RX4-26H0-003D-9298-00000-00&amp;context=1516831" TargetMode="External" /><Relationship Id="rId53" Type="http://schemas.openxmlformats.org/officeDocument/2006/relationships/hyperlink" Target="https://advance.lexis.com/api/document?collection=statutes-legislation&amp;id=urn:contentItem:61P5-WY91-DYDC-J1S8-00000-00&amp;context=1516831" TargetMode="External" /><Relationship Id="rId54" Type="http://schemas.openxmlformats.org/officeDocument/2006/relationships/hyperlink" Target="http://cwcb.state.co.us/Conservation/DroughtPlanning/DroughtMit" TargetMode="External" /><Relationship Id="rId55" Type="http://schemas.openxmlformats.org/officeDocument/2006/relationships/hyperlink" Target="https://advance.lexis.com/api/document?collection=analytical-materials&amp;id=urn:contentItem:42FS-2W30-00C3-W0XW-00000-00&amp;context=1516831" TargetMode="External" /><Relationship Id="rId56" Type="http://schemas.openxmlformats.org/officeDocument/2006/relationships/hyperlink" Target="https://advance.lexis.com/api/document?collection=cases&amp;id=urn:contentItem:4PMS-D6B0-TX4N-G011-00000-00&amp;context=1516831" TargetMode="External" /><Relationship Id="rId57" Type="http://schemas.openxmlformats.org/officeDocument/2006/relationships/hyperlink" Target="http://www.denverwater.org/docs/assets/DDA6502B-BCDF-1B42-D6B27D086AD6731A/MasterDocIRPOnline1.pdf" TargetMode="External" /><Relationship Id="rId58" Type="http://schemas.openxmlformats.org/officeDocument/2006/relationships/hyperlink" Target="https://portal.azoah.com/oedf/documents/08A-AWS001-DWR/Omnia/20070524%20Meko%20et%20al%20Medieval%20Drought%20CO%2" TargetMode="External" /><Relationship Id="rId59" Type="http://schemas.openxmlformats.org/officeDocument/2006/relationships/hyperlink" Target="http://water.usgs.gov/wsc/glossary.html" TargetMode="External" /><Relationship Id="rId6" Type="http://schemas.openxmlformats.org/officeDocument/2006/relationships/hyperlink" Target="https://advance.lexis.com/api/document?collection=statutes-legislation&amp;id=urn:contentItem:689F-SY73-CGX8-03R2-00000-00&amp;context=1516831" TargetMode="External" /><Relationship Id="rId60" Type="http://schemas.openxmlformats.org/officeDocument/2006/relationships/hyperlink" Target="https://advance.lexis.com/api/document?collection=statutes-legislation&amp;id=urn:contentItem:61P5-WX51-DYDC-J42W-00000-00&amp;context=1516831" TargetMode="External" /><Relationship Id="rId7" Type="http://schemas.openxmlformats.org/officeDocument/2006/relationships/hyperlink" Target="https://advance.lexis.com/api/document?collection=cases&amp;id=urn:contentItem:3RX3-YVT0-003D-916Y-00000-00&amp;context=1516831" TargetMode="External" /><Relationship Id="rId8" Type="http://schemas.openxmlformats.org/officeDocument/2006/relationships/hyperlink" Target="https://advance.lexis.com/api/document?collection=cases&amp;id=urn:contentItem:3RX4-14B0-003D-90F7-00000-00&amp;context=1516831" TargetMode="External" /><Relationship Id="rId9" Type="http://schemas.openxmlformats.org/officeDocument/2006/relationships/hyperlink" Target="https://advance.lexis.com/api/document?collection=cases&amp;id=urn:contentItem:3T35-0NN0-0039-41NM-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PAGOSA--THE GREAT AND GROWING CITIES DOCTRINE IMPERILED: AN OBJECTIVE LOOK FROM A BIASED PERSPECTIVE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0GM-G420-00SW-502S-00000-00">
    <vt:lpwstr>Doc::/shared/document|contextualFeaturePermID::1516831</vt:lpwstr>
  </property>
  <property fmtid="{D5CDD505-2E9C-101B-9397-08002B2CF9AE}" pid="5" name="UserPermID">
    <vt:lpwstr>urn:user:PA184731150</vt:lpwstr>
  </property>
</Properties>
</file>