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6203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&amp; Energy Quarterly 1.1</w:t>
      </w:r>
    </w:p>
    <w:p>
      <w:pPr>
        <w:keepNext w:val="0"/>
        <w:spacing w:after="0" w:line="260" w:lineRule="atLeast"/>
        <w:ind w:right="0"/>
        <w:jc w:val="both"/>
      </w:pPr>
      <w:bookmarkStart w:id="0" w:name="Bookmark_24"/>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Gas &amp; Energy Quarterly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2014 Volume 62 Number 3</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1 POLITICAL COSTS AT THE PUMP: EARNINGS MANAGEMENT IN THE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INDUSTRY 2000–2009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Anthony D. Holder</w:t>
      </w: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Timothy J. Fogarty</w:t>
      </w: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Khondkar E. Karim</w:t>
      </w:r>
    </w:p>
    <w:p>
      <w:pPr>
        <w:keepNext w:val="0"/>
        <w:spacing w:before="120" w:after="0" w:line="260" w:lineRule="atLeast"/>
        <w:ind w:left="0" w:right="0" w:firstLine="0"/>
        <w:jc w:val="left"/>
      </w:pPr>
      <w:r>
        <w:rPr>
          <w:rFonts w:ascii="arial" w:eastAsia="arial" w:hAnsi="arial" w:cs="arial"/>
          <w:b/>
          <w:i/>
          <w:strike w:val="0"/>
          <w:noProof w:val="0"/>
          <w:color w:val="000000"/>
          <w:position w:val="0"/>
          <w:sz w:val="20"/>
          <w:u w:val="none"/>
          <w:vertAlign w:val="baseline"/>
        </w:rPr>
        <w:t>Clairmont Carter</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1.1 Scope</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Watts and Zimmerman (1978) introduced the concept of political costs to accounting literature. Broadly approached, the idea that firms might make decisions based on how they might appear to critical external constituents caused researchers to depart from narrow notions of economic rationality. Managers not only had to achieve successful economic results, but had to be concerned with how these economic results might be interpreted by regulators and the public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recognition that under certain conditions, companies could be harmed by appearing too successful, and therefore needed to actively manage their reputations and their visibility, has led to growing literature about political costs. This scholarship has deepened our appreciation for accounting choice and discretionary disclosure. The corporate persona, real or manufactured, lies at the heart of public policy efforts within a private sector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present research concerns itself with reactions by the major companies in the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to the rising product prices of the first decade of the 21st century. Consistent with the notion that the worldwide search for and distribution of petroleum is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story of the last 150 years (Yergin 1992), the behavior of these firms is critically important to many markets, their customers and those that would regulate their outcomes. The results suggest an active process of earnings management to report less profits during a period of heightened corporate visibility, but only within one sector of the industry. Furthermore, some companies increased their efforts to manage their deferred taxes as part of this process. The paper makes a contribution to both our appreciation of political costs and our understanding of public policy pertaining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 of the paper is organized into five sections. The first reviews the political costs literature with the purpose of supporting the testable hypotheses that are stated. The second describes the study’s methodology used to evaluate the hypotheses. The next two sections offer a summary of the main results and additional analyses, respectively. The final section provides a brief discussion of the results, including a consideration of their implications and their salient limitations.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Literature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The general nature of political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proposition that business organizations are autonomous actors in all important respects has been perpetrated by microeconomics. Organizations exist in environments that do more than set equilibrium prices and quantities. As suggested by organizational sociology, organizations must obtain and maintain legitimacy in order to continue in the good graces of society (see Meyer and Rowan 1977). Thus, legitimacy is a key strategic resource that furthers the success of the company over the longer term. As conceived by some scholars, this task creates some degree of isomorphism as companies respond to coercive, mimetic and normative environmental forces (DiMaggio and Powell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Accounting research has taken less ambitious theoretical templates to this basic organizational phenomenon. Conceding the potential impact of external parties on firm activities has been a first step in this direction (e.g., Beattie et al. 1994). Conceived as a constraint on what otherwise would be value-maximizing behavior (see Lee and Hsieh 1985), a variety of possibilities result. These include the incurrence of costs that would not otherwise exist and the foregoing of revenues that might be politically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Watts and Zimmerman (1978) focused attention on reported accounting numbers because they shape the public’s impression of the company and can be used directly for regulatory purposes. The public has a love-hate relationship with successful companies, on the one hand admiring the goods and services that they bring to the marketplace, but on the other fearing that their dominant position can be abused. Those that possess regulatory responsibilities can be expected to disproportionately concern themselves with the larger and more profitable companies to either gain more credit for their efforts or to have a larger public interest impact by curbing the otherwise unfettered actions of major industry players. Both the general public and regulators might be activated by media groups who have a large enough interest to research accounting data, and who would naturally be drawn to more prominent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political costs is sufficiently robust to suggest that firms behave in different ways at different times. Companies are not always in the spotlight that would heighten public or regulatory concern. The accounting choices made by firms might be different based on conditions that are thought to exacerbate or mitigate such oversight. Thus, wealth transfers initiated by external groups pose a temporally variable threat to company management. Accounting, in that, it possesses sufficient flexibility to produce varying consequences in different periods, would seem to be ideally suited as a focus of corporate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political costs present a countervailing dynamic to the predictable consequences of accounting information. Here, managers and shareholders have to be wary of exceptionally “good news” such as record profits and market share. In a longer time frame, such results might force governments to alter the rules of competition or the proper use of private property so that those positive outcomes are not sustainable.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Earnings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existence of political costs creates incentives for managers to disguise the true position of the company, usually making that position less favorable than it actually would be. These conditions bring the political costs literature in proximity to the earnings management literature which focuses upon the many reasons and methods whereby accounting choices can accomplish such strategic objectives. In fact, earnings management is one of the more popular topics in recent accounting literature, with studies conducted in many diverse areas. For example, Blankley et al. (2013) examined the relationship between pension costs and earnings management, Hughes et al. (2012) explored the relationship between earnings management and U.S. electric utilities’ rate regulation, and Perols and Lougee (2011) investigated the relationship between financial statement fraud and earnings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studies have developed earnings management approaches to the believed existence of political costs. Given the dependence of many contingencies and priorities, the manipulatability of accounting information raises serious concern for many interested groups (Healy and Wahlen 1999). For these purpose, a diverse set of approaches has been taken. Wilson and Shailer (2007) provide an in-depth study of one company for more than fifty years. They found profit smoothing with a variety of techniques motivated by the periodic needs to disguise high profitability and market dominance. A more quantitative and cross-sectional search for an accounting reaction to political costs was conducted by Beattie et al. (1994) with a specially designed smoothing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typical way that researchers have attempted to link political costs to income smoothing is through the operation of a specific accounting choice that has the desired income reducing effect. Wong (1998b), for example, showed how certain New Zealand companies avoided additional income tax scrutiny by electing a less visible offset option for export credits. Daley and Vigeland (1983) found that how research and development costs were accounted for varied with company’s relative use of public debt. Using a sample of Australian companies, Godfrey and Jones (1999) found a higher tendency to classify gains as extraordinary among more unionized firms. However, not all accounting choices are as strategically serviceable. Inventory valuation methods impose too many collateral difficulties to be the fulcrum to manipulate earnings even in the face of political cost motivations (Lee and Hsieh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income smoothing techniques should be thought of as the general response to political costs, they are certainly not alone as loci of corporate reaction to perceived vulnerability. Political costs also are believed to trigger exceptional tax paying postures. We ordinarily would assume that corporate taxpayers will attempt to minimize their tax liabilities. Albeit legal, such an approach renders corporations more visible and scapegoat-worthy, especially if done in conjunction with high financial accounting profitability. A rather indefensible tax position has been associated with the willingness of firms to disclose additional information (Deegan and Hallan 1991; Wong 1988a). Indeed, the presence of political costs causes a multi-faceted corporate response which highlights but is not limited to earnings manipulation (Pattern and Trompeter 2003; Trotman 1981).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Industry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because different types of businesses present varying public interest issues, political costs cannot be easily separated from the industry level. Thus, broad-based cross-sectional data designs are not well-suited for these purposes (Beattie et al. 1994). If researchers attempt to go beyond single industries, they must design special measures that calibrate relative degrees of exposure to political threat (e.g., Cahan et al.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serves as a convenient way to particularize the expected impact of political costs. Legislation is often targeted at businesses that involve themselves in some sort of specialized activity or generate particular byproducts. In part responsive to levels of industry concentration and the prospects for unsatisfactory market outcomes, government interference in rate setting and contracting variations presents distinctive political costs. Examples include the cable television industry (Key 1997), pharmaceuticals (Meyer et al. 2000) and property-liability insurers (Grace and Leverty 2010). Government is also known to be pushed into action against particular industry groups as a result of highly publicized environmental catastrophes, even if such triggering events occur outside the U.S. (Patten and Trompeter 2003) or are not attributable to corporate fault (Byard et al.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instances, the conventional boundaries of industries are not sufficiently precise to guide expectations about responses to political costs. Segments within an industry may face different types of exposure to external constituents. Such a division of an industry might carve out companies with more of a retail focus if harm to the public is at issue. Companies also vary in current practices and therefore new inflection points of regulation may create varying future compliance contingencies for some organizations, but not others. With diversified business lines, corporations also have different levels of exposure to any specific governmental initiative (see Key 1997).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Measurement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best evidence of corporate response to political costs is available from Wilson and Shailer (2007). These authors, by virtue of confining their focus to a single company, were able to develop convincing qualitative evidence that accounting is used strategically to reduce the incentives of regulators to fashion constraints on the company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that pursue more generalizable information have had to accept less direct evidence. Often measurement follows the reasoning that political costs are differentially experienced by companies whose positions are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more apparent to the external world. Historically, this makes a size operationalization a logical alternative. This idea was well articulated by Watts and Zimmerman (1986) who point out that larger firms will have more to lose, perhaps in the forms of political costs that come from extra taxes imposed above certain activity or size thresholds. That large companies behave differently from small companies has been a staple finding of other areas of the accounting literature (e.g., Zmijewski and Hagerman 1981) and therefore brings great familiarity to the measurement issue. However, this feature also may prove an embarrassment of riches. Lee and Hsieh (1985) argue that since size is not unique to political costs theory, its use may be spurious.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Morris (1992) add that size is particularly ambiguous as it pertains to any hypothesis that involves tax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Watts and Zimmerman (1986) also suggest that high income made by corporations can create undesirable public attention. The existence of abnormal rates of profitability should not be itself a problem. However, closer scrutiny of the means by which such profits are obtained usually produces inconvenient information. Whereas, most accept that building market share is a legitimate corporate objective, steps taken to accomplish such can be reinterpreted as unfair to the competition (Wilson and Shailer 2007). With large profits also comes the expectation that proportional amounts of taxes should be paid (Wong 1988b). Perhaps attributable to the ambiguities of its measurement, profitability has not been routinely used as a metric whereby differential reactions to political costs might be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Measurement of political costs sensitivity might depend upon the monitoring interface that researchers contemplate. For example, the presence of an aggressive labor union capable of asserting “ability to pay” demands might call for the measurement of the extent of unionization across companies (e.g., Godfrey and Jones 1999). This approach could also call for comparisons across industries that would measure relative reliance on labor as a factor of production. A different tact should be taken if monitoring is projected from components of the capital markets. Here, Daley and Vigeland (1983) measured political costs based on the extensiveness of bond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extraordinary circumstances, the use of more diffuse forms of measurement might be appropriate. Concerned with the “game changing” approach of the environmental laws in the late 1970s, Cahan et al. (1997) combined seven specific measures of potential exposure into a composite index. During less extreme situations, in which politically charged conditions are seen as either temporary or reversible, less elaborate measures have been seen as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political costs question is reconfigured as a longitudinal one, many measurement difficulties can be suppressed. Comparing company behavior at one point in time with behavior at another allows companies to serve as their own control groups. The many ways in which companies differ no longer have to be confronted. Cahan (1992) contributes an excellent example of such work, looking at federal antitrust enforcement against 48 companies over a 15 year period. Income reducing discretionary accruals were documented to be associated with years of more intense legal enforcement. The ability of companies to manage earnings in the face of political situations has not been attenuated by legislation (e.g., Sarbanes-Oxley) that was designed in part to strengthen accounting (Byard et al. 2007). However, longitudinal studies might have to contend with the influence of macroeconomic cycles as an alternative explanation of accounting choice (Makar and Alam 1998).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singl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uniquely important part of the modern economy,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not escaped the attention of researchers interested in political costs theory.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among the largest and most profitable entities in the private sector (CNNmoney.com 2012). Many of these companies have world-wide name recognition. All the conventional metrics suggest that they operate within the “glass fishbowl” of public criticism, and ever-changing regulatory thrusts. The U.S. tax code contains many provisions that tend to subsidize the production, refinement and distribution of petroleum products. Thus,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one of high expectations, immense collateral consequences and large potential losses for those that demand and supply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political costs studies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have been fashioned around particular events. Byard et al. (2007) studied the aftermath of hurricanes Katrina and Rita, notable here for their disruption of petroleum refinement activities.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recorded abnormal income-decreasing accruals for the quarter immediately thereafter. Although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did not cause these weather conditions nor could they avoid production discontinuation, firms benefitted from the increased prices that followed this supply hiccup. Along similar lines, Han and Wang (1998) tested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would attempt to manage their earnings following the advent of the first Gulf War in 1991. The much-anticipated invasion of Iraq also resulted in additional revenue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That study also demonstrated otherwise unexpected and short-lived earnings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studies suggest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do not enjoy the sudden attention brought to them by extraordinary events that disrupt their supply chain. Unlike most other industries for whom such events would be revenue reducing, adverse conditions put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 the difficult position of profiting from the bidding up of unit prices. This unique market property, caused by the inelasticity of demand and exacerbated by the increased pressure of worldwide technological development, can be characterized as classic political costs to which a predictable reaction has to be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Mitra and Crumbley (2003) pose a broader and more ambitious question. They reasoned that the unique position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 the economy should make them sensitive to their general level of profitability. They expected income reducing earnings management to be more common in years of greater levels of profit. However, these authors did not discover such a reaction for the years 1984 to 1996. Apparently, the idea of political costs is more particularized than the entirety of operational results in normal times can accommodate.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profits are much more complex than those of most other industries. Since its inception in the 19th century, the industry has been known for its boom and bust cycles, well illustrated by great discoveries and dry holes. Once the industry became closely associated with industrial progress and the trajectory of international competitiveness, tax policies became very important to industry success. On the one hand, generous deductions such as the depletion allowance had been designed to subsidize the discovery of natural resources. On the other, special taxes were designed to prevent the industry from becoming too profitable. Unit price increases, mostly caused by international cartels, create profits to which government has sought to lessen with specifically targeted “windfall profits” levies. To a large extent, how profitable the companies in this industry are is a product of government action or inaction. To say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profits reflect the perceived national priorities of the time period studied would not be too blatant an overstatement.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point of visibility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occurs at the gasoline pump. Even modest changes in gas prices are regular fodder for national network news coverage. With transportation in the U.S. so radically dependent upon the personally owned passenger automobile, very few people can afford to be indifferent about the cost of a gallon of gasoline. When more discretionary income must be devoted to the purchase of this product, the matter becomes one that various parts of the government feel pressure to ameliorate. It would appear that gas prices, more than industry profitability or short swing supply disruptions, possess the capability of becoming politically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gasoline in the U.S. over the last few decades details the rationale for increasing societal concern. Following many years of unchanging low prices, the OPEC-induced restriction of supply in the mid-1970s escalated the price substantially. Shortages induced price gouging and rationing in some parts of the U.S. Dependencies on this critical commodity quickly became recognized. The 1980s and 1990s witnessed some upwards drift in the price, but at some points not even commensurate with the rise in the consumer price index. Prices escalated more rapidly in the late 1990s, a trend that plateaued in the early 2000s. This was followed by a final period of rapid rise in the later half of the 2000s. The last movement is blamed on instability in the Middle East, better cartel discipline, and a rise in worldwide demand, particularly China (Hakes et al. 2012). Each upward movement has been met by media coverage that featured how people would react, including efforts to conserve, changes in car-buying preferences, and movement closer to urban areas. Albeit less frequent, periods of falling prices saw media stories that featured the resurgence of past behaviors (large car purchases, long commutes willingly endured) or surprise over the persistence of less profligate energy consumption. Both trajectories of what has become a volatile priced commodity garner much attention.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Hypotheses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unique importance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to the U.S. economy allows us to study political costs in an unusually straightforward way. The consequences of changes to gas prices are well understood to consumers of all sorts from those who fabricate petroleum-based products to ordinary owners of automobiles. Unit price increases, determined mostly by international forces of supply and demand, immediately thrust the large companies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into the limelight. That these companies are poised to reap large incremental profits on the backs of almost everyone else in the economy is a precarious position. Being able to mitigate the income consequences of escalating prices would be a sound strategic objective. Thus, earnings management in an income decreasing direction should be expected.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subscript"/>
        </w:rPr>
        <w:t>1</w:t>
      </w:r>
      <w:r>
        <w:rPr>
          <w:rFonts w:ascii="arial" w:eastAsia="arial" w:hAnsi="arial" w:cs="arial"/>
          <w:b w:val="0"/>
          <w:i w:val="0"/>
          <w:strike w:val="0"/>
          <w:noProof w:val="0"/>
          <w:color w:val="000000"/>
          <w:position w:val="0"/>
          <w:sz w:val="20"/>
          <w:u w:val="none"/>
          <w:vertAlign w:val="baseline"/>
        </w:rPr>
        <w:t xml:space="preserve">: Higher levels of income—decreasing earnings management exist during periods of increasing gas prices than in periods of non-increasing gas prices for companies in segments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of earnings management has progressed from a generic utilitization of a large set of techniques and accruals to a more particularized investigation. For these purposes, the favored methods of earnings management could be expected to vary by industry. Different industries have different production functions, as well as different interfaces with suppliers and customers. That the accounting conventions reflect historical and normative understandings not only lead to variations in what is “generally acceptable” but also to numbers that are selectively “soft,” and therefore more susceptive to strategic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invariably lead to conversations about their contributions to the public welfare. As discussed above, a vast number of special incentives have been created to encourage the growth and sustained profitability of this industry. Although less than reliable, political rhetoric of late has criticized the special tax advantages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from both sides of the aisle. President Obama has directly called for the elimination of these tax breaks, perhaps sensing some degree of bipartisan support in commentary by Republican leadership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ought to pay its fair share (Kirchgaessner and Politi 2011). However, the normative argument still ranges far afield from the outright fleecing of the American taxpayer through unnecessary tax giveaways (Kocieniewski 2010) to the need to sustain current levels of production and employment (PBS 2009). This debate over proper incentives is much easier for the industry to participate in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are not at or near historically high levels (Kirchgaessner and Politi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Accounting for income taxes presents companies with a high degree of complexity. Discrepancies between the U.S. tax code and U.S. GAAP consist of both permanent and timing differences for the same transactions. The large degree of discretion available to managers in their characterizations of transactions and their valuations makes the area ripe for earnings management (Gleason et al.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Tax-based earnings management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combines the generic discretion available to all industries with those uniquely available to this type of industrial activity. With a global reach unsurpassed by any other sector,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unequalled opportunity to relocate the incidence of profits and to judiciously manage foreign tax credits. Intercompany transactions also provide a means for income to move to lower-taxing jurisdictions. In larger part,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w:t>
      </w:r>
      <w:r>
        <w:rPr>
          <w:rFonts w:ascii="arial" w:eastAsia="arial" w:hAnsi="arial" w:cs="arial"/>
          <w:b w:val="0"/>
          <w:i/>
          <w:strike w:val="0"/>
          <w:noProof w:val="0"/>
          <w:color w:val="000000"/>
          <w:position w:val="0"/>
          <w:sz w:val="20"/>
          <w:u w:val="none"/>
          <w:vertAlign w:val="baseline"/>
        </w:rPr>
        <w:t>sui generis</w:t>
      </w:r>
      <w:r>
        <w:rPr>
          <w:rFonts w:ascii="arial" w:eastAsia="arial" w:hAnsi="arial" w:cs="arial"/>
          <w:b w:val="0"/>
          <w:i w:val="0"/>
          <w:strike w:val="0"/>
          <w:noProof w:val="0"/>
          <w:color w:val="000000"/>
          <w:position w:val="0"/>
          <w:sz w:val="20"/>
          <w:u w:val="none"/>
          <w:vertAlign w:val="baseline"/>
        </w:rPr>
        <w:t xml:space="preserve"> vis-à-vis its interactions with the governments of the world (Coll 2012). This situation makes it virtually impossible to distinguish substance from form. For example, royalties paid to foreign governments may or may not be considered taxes for purposes of qualifying for offsets against U.S. tax liability (Kocieniewski 2010). The resolution of tax issues routinely involves billions of dollars, thus indicating the stakes involved in any management attempt to modulate this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advantages of industry-specific tax provisions are obvious, responding directly to unique configurations of revenues or expenses. However, when such conditions no longer exist, the special tax treatments persist as unjustifiable loopholes.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continues to receive such benefits from legislation such as the Tariff Act of 1913. Under this legislation and other acts,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able to claim deductions in excess of their investments (e.g. IRC Section 613), a privilege at odds with foundational concepts of capital recovery (see Murphy and Higgins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size of the companies that constitute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combined with the inherent volatility of that which it routinely does, makes for great and consequential uncertainty. The very prospect of extracting and transporting liquefied natural resources that cannot be initially seen involves large degrees of estimation and judgment under the best circumstances. When things go wrong, environmental problems tend to be enormous. As recently shown by the Deepwater Horizon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liabilities can be probable but difficult to quantify in advance. Creating reserves for such events would seem to be prudent and reasonable. The tax consequences of such planning would seem to offer ample earnings management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 based earnings management could be observed either as rate effects or as base effects. The former implies that those concerned about whether companies are paying a “fair share” will observe the effective rate of income taxation. Rate management takes into its purview both the taxability of inflows and the magnitude of allowable deductions. Base effects suggests that companies have higher levels of discretion over their expenses. Expenses taken in one period are generally unavailable for other periods, and represent less broadly-based tax management than the examination of rates. In either location, the main point is that the discrepancy between income taxes expense and income taxes paid (i.e., deferred tax liabilities) should be a fertile earnings management setting. Since some interests exist in both ways of approaching tax management, two sub-hypothesis are stated.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subscript"/>
        </w:rPr>
        <w:t>2a</w:t>
      </w:r>
      <w:r>
        <w:rPr>
          <w:rFonts w:ascii="arial" w:eastAsia="arial" w:hAnsi="arial" w:cs="arial"/>
          <w:b w:val="0"/>
          <w:i w:val="0"/>
          <w:strike w:val="0"/>
          <w:noProof w:val="0"/>
          <w:color w:val="000000"/>
          <w:position w:val="0"/>
          <w:sz w:val="20"/>
          <w:u w:val="none"/>
          <w:vertAlign w:val="baseline"/>
        </w:rPr>
        <w:t xml:space="preserve">: Income tax rates paid by companies in the segments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periods of increasing gas prices will be higher than in periods of non-increasing gas prices.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subscript"/>
        </w:rPr>
        <w:t>2b</w:t>
      </w:r>
      <w:r>
        <w:rPr>
          <w:rFonts w:ascii="arial" w:eastAsia="arial" w:hAnsi="arial" w:cs="arial"/>
          <w:b w:val="0"/>
          <w:i w:val="0"/>
          <w:strike w:val="0"/>
          <w:noProof w:val="0"/>
          <w:color w:val="000000"/>
          <w:position w:val="0"/>
          <w:sz w:val="20"/>
          <w:u w:val="none"/>
          <w:vertAlign w:val="baseline"/>
        </w:rPr>
        <w:t xml:space="preserve">: Income tax expenses claimed by companies in the segments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periods of increasing prices will be higher than in periods of non-increasing prices.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Research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convenience, this paper has addressed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as if it comprised one set of undifferentiated organizations. However, segments of the industry exist due to their specialization in particular parts of the supply chain. This includes companies that provide exploration services, field services, drilling,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distribution, and petroleum refinement. Their distinction is evidenced by the several separate SICs needed to cover the companies engaged in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or not industry segments should be separated in the data analysis presents an empirical question. Initially, Compustat data was gathered on all firms with SICs of 1382, 1389, 1381, 1311, and 2911 (representing the five types of companies listed above) from the 2011 annual industrial database. This included companies with December 31 fiscal year ends. This procedure netted 17,354 firm quarter observations which consisted of 1,087 petroleum refining firm quarter observations (SIC 2911), 12,974 crude petroleum and natural gas firm observations (SIC 1311), and 3,293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firm quarter observations (SIC 1381, 1382, and 1389). Because several of the SICs were not well populated, they were collapsed into a miscellaneous set of firms. Table 1 documents the sample selection procedure. Consistent with prior literature, the extreme values of the distribution were winsorized at the 1st and 99th percentiles in order to mitigate the influence of outliers.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prices have become much more volatile after the turn of the 21st century. Whereas up and down movement on a regular basis has been observed for several decades, the two halves of the last decade exist in considerable counter distinction. The five year 2005–2009 period was marked by gas (in all grades) that cost 73% more than in the previous five year period (2000–2004). The difference in mean weekly prices during the early period ($1.49) was statistically different (t = 5.71, p &lt; .01) than the mean weekly prices of the second period ($2.61). Figure 1 depicts the gas prices of these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Predictably,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revenues reached new peaks in the years of increasing gas prices. Figure 2 shows the percent change in revenues for the three segments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above the base year defined as 2000. Revenue change was not impressive during the 2000–2004 period, averaging approximately 20% across the segments. Only in the last year (2004), as we transition into the gas increase years did substantial revenue change occur. On the other hand, the average percent change of the years 2005–2009 was approximately 50% over 2000. This difference helps validate the distinction drawn between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also shows that industry segments did not experience revenue changes at the same time or with the same degree. Refiners (SIC 2911)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(SIC 1311) have less dramatic increases than the aggregate of miscellaneous types of firms and such increases do not start until much later in the latter period. Whereas all segments seemed to have benefitted from high gas prices, the absence of uniformity adds to the problematic nature of a singular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for present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Model specification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existing literature assumes that higher discretionary accruals imply higher levels of earnings management (Healy and Wahlen 1999; Fields et al. 2001). Following Dechow, Sloan, and Sweeney (1995), the modified Jones method serves as a conceptual starting point to measure discretionary accruals as the residuals from the following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total accruals for firm i in quarter t (earnings minus cash flows). ΔREV</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change in Revenues. ΔREC</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change in Receivables. PPE</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gross Property Plant and Equipment at the end of quarter t. These variables are deflated by lagged assets (TA</w:t>
      </w:r>
      <w:r>
        <w:rPr>
          <w:rFonts w:ascii="arial" w:eastAsia="arial" w:hAnsi="arial" w:cs="arial"/>
          <w:b w:val="0"/>
          <w:i w:val="0"/>
          <w:strike w:val="0"/>
          <w:noProof w:val="0"/>
          <w:color w:val="000000"/>
          <w:position w:val="0"/>
          <w:sz w:val="20"/>
          <w:u w:val="none"/>
          <w:vertAlign w:val="subscript"/>
        </w:rPr>
        <w:t>i,t-1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measure of earnings management (EM) is uninformative as to whether firms manage earnings downward (using negative/income-decreasing discretionary accruals) or manage earnings upward (using positive/income-increasing discretionary accruals). Since Hypothesis 1 relates to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firms manage earnings downward during the price spike period, we use directional earnings management (D_EM).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obtaining our quarterly measures for earnings management, we empirically test the hypothesis that the sample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firms recorded relatively higher levels of abnormal earnings-management in the increasing gas price period covering 2005 through 2009 than the other period covering 2000 through 2004 with the following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 indicates one of two earnings management measures: (1) EM</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absolute value of the firm-specific discretionary accrual in quarter t; (2) D_EM</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firm-specific discretionary accrual in quarter t when that measure is greater than zero and zero otherwise. SPIKE_D</w:t>
      </w:r>
      <w:r>
        <w:rPr>
          <w:rFonts w:ascii="arial" w:eastAsia="arial" w:hAnsi="arial" w:cs="arial"/>
          <w:b w:val="0"/>
          <w:i w:val="0"/>
          <w:strike w:val="0"/>
          <w:noProof w:val="0"/>
          <w:color w:val="000000"/>
          <w:position w:val="0"/>
          <w:sz w:val="20"/>
          <w:u w:val="none"/>
          <w:vertAlign w:val="subscript"/>
        </w:rPr>
        <w:t>t</w:t>
      </w:r>
      <w:r>
        <w:rPr>
          <w:rFonts w:ascii="arial" w:eastAsia="arial" w:hAnsi="arial" w:cs="arial"/>
          <w:b w:val="0"/>
          <w:i w:val="0"/>
          <w:strike w:val="0"/>
          <w:noProof w:val="0"/>
          <w:color w:val="000000"/>
          <w:position w:val="0"/>
          <w:sz w:val="20"/>
          <w:u w:val="none"/>
          <w:vertAlign w:val="baseline"/>
        </w:rPr>
        <w:t xml:space="preserve"> is an indicator variable equal to 1 if the year is 2005 or later and 0 otherwise. OCF</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operating cash flows. ROA</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return on assets calculated as operating income divided by total assets. ASSTGR</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growth in total assets calculated as the change in assets divided by lagged assets. MB</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Market-to-Book ratio at the end of quarter t. LEVERAGE</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the firm’s liabilities divided by the firm’s assets at the end of quarter t. QTR_D(n)</w:t>
      </w:r>
      <w:r>
        <w:rPr>
          <w:rFonts w:ascii="arial" w:eastAsia="arial" w:hAnsi="arial" w:cs="arial"/>
          <w:b w:val="0"/>
          <w:i w:val="0"/>
          <w:strike w:val="0"/>
          <w:noProof w:val="0"/>
          <w:color w:val="000000"/>
          <w:position w:val="0"/>
          <w:sz w:val="20"/>
          <w:u w:val="none"/>
          <w:vertAlign w:val="subscript"/>
        </w:rPr>
        <w:t>it</w:t>
      </w:r>
      <w:r>
        <w:rPr>
          <w:rFonts w:ascii="arial" w:eastAsia="arial" w:hAnsi="arial" w:cs="arial"/>
          <w:b w:val="0"/>
          <w:i w:val="0"/>
          <w:strike w:val="0"/>
          <w:noProof w:val="0"/>
          <w:color w:val="000000"/>
          <w:position w:val="0"/>
          <w:sz w:val="20"/>
          <w:u w:val="none"/>
          <w:vertAlign w:val="baseline"/>
        </w:rPr>
        <w:t xml:space="preserve"> is an indicator variable equaling 1 if the fiscal quarter is (n) and zero otherwise where n is equal to 1, 2 or 3; SOX</w:t>
      </w:r>
      <w:r>
        <w:rPr>
          <w:rFonts w:ascii="arial" w:eastAsia="arial" w:hAnsi="arial" w:cs="arial"/>
          <w:b w:val="0"/>
          <w:i w:val="0"/>
          <w:strike w:val="0"/>
          <w:noProof w:val="0"/>
          <w:color w:val="000000"/>
          <w:position w:val="0"/>
          <w:sz w:val="20"/>
          <w:u w:val="none"/>
          <w:vertAlign w:val="subscript"/>
        </w:rPr>
        <w:t>t</w:t>
      </w:r>
      <w:r>
        <w:rPr>
          <w:rFonts w:ascii="arial" w:eastAsia="arial" w:hAnsi="arial" w:cs="arial"/>
          <w:b w:val="0"/>
          <w:i w:val="0"/>
          <w:strike w:val="0"/>
          <w:noProof w:val="0"/>
          <w:color w:val="000000"/>
          <w:position w:val="0"/>
          <w:sz w:val="20"/>
          <w:u w:val="none"/>
          <w:vertAlign w:val="baseline"/>
        </w:rPr>
        <w:t xml:space="preserve"> is an indicator variable which is equal to 1 if the year is either 2003 or 2004 and zero otherwise. R_GDP</w:t>
      </w:r>
      <w:r>
        <w:rPr>
          <w:rFonts w:ascii="arial" w:eastAsia="arial" w:hAnsi="arial" w:cs="arial"/>
          <w:b w:val="0"/>
          <w:i w:val="0"/>
          <w:strike w:val="0"/>
          <w:noProof w:val="0"/>
          <w:color w:val="000000"/>
          <w:position w:val="0"/>
          <w:sz w:val="20"/>
          <w:u w:val="none"/>
          <w:vertAlign w:val="subscript"/>
        </w:rPr>
        <w:t>t</w:t>
      </w:r>
      <w:r>
        <w:rPr>
          <w:rFonts w:ascii="arial" w:eastAsia="arial" w:hAnsi="arial" w:cs="arial"/>
          <w:b w:val="0"/>
          <w:i w:val="0"/>
          <w:strike w:val="0"/>
          <w:noProof w:val="0"/>
          <w:color w:val="000000"/>
          <w:position w:val="0"/>
          <w:sz w:val="20"/>
          <w:u w:val="none"/>
          <w:vertAlign w:val="baseline"/>
        </w:rPr>
        <w:t xml:space="preserve"> is the percent change in the real gross domestic product from the previous quarter. The use of these variables follows Cohen et al.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taxes for a manufacturer are usually a function of revenues, cost of goods sold, depreciation, and interest expense. Accordingly, we estimate the following equation for the H</w:t>
      </w:r>
      <w:r>
        <w:rPr>
          <w:rFonts w:ascii="arial" w:eastAsia="arial" w:hAnsi="arial" w:cs="arial"/>
          <w:b w:val="0"/>
          <w:i w:val="0"/>
          <w:strike w:val="0"/>
          <w:noProof w:val="0"/>
          <w:color w:val="000000"/>
          <w:position w:val="0"/>
          <w:sz w:val="20"/>
          <w:u w:val="none"/>
          <w:vertAlign w:val="subscript"/>
        </w:rPr>
        <w:t>2a</w:t>
      </w:r>
      <w:r>
        <w:rPr>
          <w:rFonts w:ascii="arial" w:eastAsia="arial" w:hAnsi="arial" w:cs="arial"/>
          <w:b w:val="0"/>
          <w:i w:val="0"/>
          <w:strike w:val="0"/>
          <w:noProof w:val="0"/>
          <w:color w:val="000000"/>
          <w:position w:val="0"/>
          <w:sz w:val="20"/>
          <w:u w:val="none"/>
          <w:vertAlign w:val="baseline"/>
        </w:rPr>
        <w:t xml:space="preserve"> and H</w:t>
      </w:r>
      <w:r>
        <w:rPr>
          <w:rFonts w:ascii="arial" w:eastAsia="arial" w:hAnsi="arial" w:cs="arial"/>
          <w:b w:val="0"/>
          <w:i w:val="0"/>
          <w:strike w:val="0"/>
          <w:noProof w:val="0"/>
          <w:color w:val="000000"/>
          <w:position w:val="0"/>
          <w:sz w:val="20"/>
          <w:u w:val="none"/>
          <w:vertAlign w:val="subscript"/>
        </w:rPr>
        <w:t>2b</w:t>
      </w:r>
      <w:r>
        <w:rPr>
          <w:rFonts w:ascii="arial" w:eastAsia="arial" w:hAnsi="arial" w:cs="arial"/>
          <w:b w:val="0"/>
          <w:i w:val="0"/>
          <w:strike w:val="0"/>
          <w:noProof w:val="0"/>
          <w:color w:val="000000"/>
          <w:position w:val="0"/>
          <w:sz w:val="20"/>
          <w:u w:val="none"/>
          <w:vertAlign w:val="baseline"/>
        </w:rPr>
        <w:t xml:space="preserve"> tax incentive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 Effect is measured with the tax related variables found in the literature.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we consider the firm-specific growth in income tax expenses, ΔTAX which is measured as the current quarter income tax expenses minus the income tax expenses of the corresponding quarter from the previous year.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following Dhaliwal et al. (2004), we examine the effective tax rate (ETR). ETR is the current quarter income tax expenses divided by the accumulated year to date pretax income. ΔREV is the changes in revenues measured as the current quarter revenues minus the revenues of the corresponding quarter from the previous year. ΔDEPR is the changes in depreciation expenses measured as the current quarter depreciation minus the depreciation of the corresponding quarter from the previous year. ΔCOG is the changes in cost of goods sold measured as the current quarter cost of goods sold minus the cost of goods sold of the corresponding quarter from the previous year. ΔSTDEBT is the changes in short-term debt measured as the current quarter short-term debt minus the short-term debt of the corresponding quarter from the previous year. ΔLTDEBT is changes in long-term debt measured as current quarter long-term debt minus the long-term debt of the corresponding quarter from the previous year. The remaining variables in Equation (3) are defined consistently with Equation 2 (see above).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Descriptive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reports descriptive statistics for our three sets of sample firms for the sample period 2000 to 2009. Consistent with prior literature (e.g., Byard et al. 2007) the petroleum refining sample shows dollar amounts are much larger than the other two samples with total mean (median) market values of $8.6 billion ($7.5 billion) compared to $1.1 billion ($1.0 billion) for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firms and $2.3 billion ($1.9 billion) for the other firms. Also comparable with existing literature, total accruals are approximately 10 percent of lagged total assets for all three industry segments (see Cohen et al. 2008, Holder, et al.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also provides information of difference in accounting reactions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segments. The petroleum refining firms have noticeably smaller earnings management measures than the two other groups. This is true in terms of magnitude, where the average non-directional earnings management measure for the petroleum refining sample is .07 compared to .21 for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and .23 for all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With regards to volatility, the standard deviation for the non-directional earnings management measure is .08 for the refiners. This compares distinctly with .25 for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and .42 for all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These results suggest that the petroleum-refining firms exercise considerably less earnings management than the other two industry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tax incentive variables presented highlight the widespread accounting conservatism in these industry segments. In general, income taxes for all three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samples have risen by approximately 50 percent during the 2000 to 2009 period. The tax variables do not attest to aggressive tax positioning in any of the three sectors. Deferred tax liabilities have not grown proportionate to tax payments. Effective tax rates are relatively higher than reported by previous studies (e.g., Cook et al. 2008) with means ranging from 18% to 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Univariate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provides separate correlations of the variables in the analysis. A significant positive correlation exists between the earnings management variable (EM) and the tax growth variable (?TAX) for the petroleum refining firms during the stable price period is shown in Panel A. The converse of this result, a significant negative correlation between these variables, is produced during the increasing price period as shown in Panel B. This result suggests that during the stable gas price period, income tax expenses increased with the overall level of earnings management for these firms. However, the opposite phenomenon exists during the gas price spike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Multivariate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step, Equation 2 examines all differences in the absolute level of earnings management between the gas price increase and non-increase periods. The results of this ordinary regression estimation are shown in Table 4. A positive coefficient on the time period variable (SPIKE_D) would be indicative of more earnings management in the price increase period. Surprisingly, these results suggest that all three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samples managed earnings noticeably less during the price increase period of 2005 to 2009. The time period variable is significant and negative (p &lt; 0.01, two-tailed) in the regressions pertaining to each segment. However, this result is uninformative without an investigation of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engaged in income-increasing and income-decreasing earnings management during the two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5 presents the results of OLS regressions with directional earnings management as the dependent variable. Similar to Table 4, the variable of interest is the time period indicator variable (SPIKE_D). A positive (negative) coefficient would indicate that there is more (less) </w:t>
      </w:r>
      <w:r>
        <w:rPr>
          <w:rFonts w:ascii="arial" w:eastAsia="arial" w:hAnsi="arial" w:cs="arial"/>
          <w:b w:val="0"/>
          <w:i/>
          <w:strike w:val="0"/>
          <w:noProof w:val="0"/>
          <w:color w:val="000000"/>
          <w:position w:val="0"/>
          <w:sz w:val="20"/>
          <w:u w:val="none"/>
          <w:vertAlign w:val="baseline"/>
        </w:rPr>
        <w:t>income increasing</w:t>
      </w:r>
      <w:r>
        <w:rPr>
          <w:rFonts w:ascii="arial" w:eastAsia="arial" w:hAnsi="arial" w:cs="arial"/>
          <w:b w:val="0"/>
          <w:i w:val="0"/>
          <w:strike w:val="0"/>
          <w:noProof w:val="0"/>
          <w:color w:val="000000"/>
          <w:position w:val="0"/>
          <w:sz w:val="20"/>
          <w:u w:val="none"/>
          <w:vertAlign w:val="baseline"/>
        </w:rPr>
        <w:t xml:space="preserve"> earnings management during the spike period. Consistent with our political cost hypothesis, petroleum refining firms and the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appear to have committed significantly less income-increasing earnings management during the second period. The time period variable is significant (p &lt; 0.01, two-tailed) and negative for these firm types. Interestingly,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seem to have committed noticeably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income-increasing earnings management during the gas price increase period (t=10.07, p &lt; 0.01, two-tailed). Hypothesis 1 is partially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6 presents the results of OLS regressions with the change in income tax expenses dependent variable, as called for by Hypothesis 2b. A positive (negative) coefficient would indicate increases (decreases) in income tax expenses during the price spike period. A significant and negative coefficient on the time period variable (SPIKE_D) for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(t= -6.63, p &lt; 0.01, two-tailed) suggests that the firms in this industry segment use the income tax expense account to negatively manage earnings. The insignificant coefficient on the time period variable for the other segments suggests that the petroleum refining firms and the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are not using the income tax expenses to such an extent to manage earnings. Again, mixed support varying by industry sector is found for Hypothesis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7 presents the results of the OLS regressions using Equation 3. As required by Hypothesis 2a, the change in effective income tax (ETR) is the dependent variable. A positive (negative) coefficient would indicate higher (lower) effective tax rates during the price spike period. After controlling for other determinants of the effective tax rate, we observe that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segment had a higher effective tax rate during the spike period (t=-3.68, p &lt; 0.01, two-tailed). The other two samples show insignificant tax rate changes during the spike period. Hypothesis 2a is supported as it pertains to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segment, but not supported for the two other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as suggested by political costs theory, the petroleum refining firms appear to be managing earnings downward in order to minimize their reported earnings numbers. However, these firms appear to be using methods other than those related to their tax liabilities. At the same time,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appear to be actively engaged in managing their tax rates and expenses during high retail gas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Additional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three other alternative earnings management model specifications which control for performance (Kothari et al. 2005) and leadership (Kaznik 1999) and growth (McNichols 2002). These variations have emerged in the literature as major alternatives to the modified Jones measure. The results using these other measures are quantitatively similar to the reported results, and would not have supported alternative conclusions about the political costs of any of the industry segments over the two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paper’s characterization of 2005–2009 as a period of price increases for gas at the pump is true in the aggregate, and in contrast to the 2000–2004 period. However, as shown by Figure 1, gas prices declined in 2009 from their 2008 peak. Because no mathematical necessity exists in having an equal number of years in the non-increasing and increasing periods, 2009 was excluded from the latter. No substantive change was produced as a result of the alternative temporal specification of a four-year gas price increase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Accruals basically represent non-cash revenues or expenses that will be realized in the future. The quality of the estimation can be undermined by either unavoidable miscalculations (when the future is uncertain, hence predictions are not very precise) or willful misrepresentation of earnings (when managers choose to intentionally manipulate accruals, resulting in earnings management). The latter has come to be known as poor earnings quality and is associated with many undesirable outcomes such as SEC enforcement actions (Dechow, Sloan, and Sweeney 1996), lawsuits (Francis, Philbrick, and Schipper 1994), a higher cost of both debt and equity capital (Francis, LaFond, Olsson, and Schipper 2004, 2005), and poor future returns (Chan, Chan, Jegadeesh, and Lakonishok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a random distribution of unintentional errors, any decreases in overall accrual quality can be attributed to voluntary management decisions. Thus the heightening of political costs during the gas price increase period should be associated with a decrease in the accrual quality of earnings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firms during those years. A test for differences in the information content of earnings between the two gas price periods, using a model detailed in the Appendix, provides an opportunity to test the robustness of the empirical models used to test the hypotheses.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8 presents the results of the tests using the accrual quality measures as the dependent variable. The results suggest an overall decrease in the accrual quality for all three segments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 positive and significant (p &lt; 0.01, two-tailed) standard deviation of residuals during the escalating gas price period exists for the three industry groups.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no industry has received as much political scrutiny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over the past few years. The current study extends earlier political costs research by examining U.S.-based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firms’ tax incentives and earnings management behavior during two periods of contrasting gas price trajectory. Prior research has focused almost exclusively on understanding whether attempts to control political costs occurred around specific events (Han and Wang 1998; Byard et al. 2007). In contrast to this methodology, this research compares a relatively long event period of time with another lengthy period. While such an attempt did not reveal political costs reactions in Mitra and Crumbley (2003), this study chose a potentially more relevant triggering condition: relatively stable prices with a similar period of unusually high and increasing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document an overall decline in the level of earnings management for all three industry segments studied during the price spike period. However, conditioning on the direction of earnings reveals a significant increase in income-decreasing earnings management in the gas price spike period for firms in the petroleum refining segment of the industry. This result indicates the need not only to consider the goal of earnings management, but also to consider a population of firms more specific than entire industries. Political costs inherently imply a strategic objective that necessitates a particular directionality of results. That some firms in an industry may have different exposures and sensitivities to public attention seems quite 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paper explored the specific means of earnings management that might have been 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The highly specialized and very generous treatment of these economic activities in the federal income tax code made tax methods particularly interesting. The results document that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producers tend to have higher effective tax rates during periods when retail gas prices are higher. This industry segment also has elevated income tax expenses during such times. Together, these results suggest an active attempt to construct a certain posture regarding tax liabilities that was not true in the period marked by more stable and lower retail gas prices. That similar evidence of an association between either income tax expenses or effective tax rates and the time period (as demarked by gas prices) for the other two industry segments again suggests that political costs are not common to all firms in an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provides several insights for standard setters and policy makers. Since the results suggest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managers routinely manage earnings, the financial data being used in regulatory discussions may need to be modified to eliminate the effects of such earnings management. Second, if earnings in general and tax accounts in specific are being managed, such management behavior could result in a distrust of such managers which could significantly hamper their right to dominate the development of proper public policies relevant to these activities. The size and importance of firms in this industry establishes a link to possible antitrust questions. Here, judgments about the future degrees of competition in the industry are heavily dependent upon relative degrees of past and present results, so a better understanding of earnings would be quite helpful. The findings on earnings management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might part provide useful information for shareholders. Whereas, investors cannot rely so much on the literal truth of accounting information, they should be pleased that managers are considering the long term implications of their reporting decisions and the possible threats in their business environment. Perhaps most importantly, this paper stands for the notion that public policy implications must be made at the level of the industry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suffers from a number of limitations. To measure earnings management, directional earnings management and accrual quality the consensus accepted measures were used. Although, we also consider a number of alternatives as robustness checks, our results should still be considered sensitive to the ability of accepted measures to capture the true underlying activities. As noted by Dechow et al. (2010) correlated omitted variables associated with fundamentals are always an issue. Because normal accruals depend on these fundamentals, inherent endogeneity between the hypothesized determinants and the fundamentals continues to present a potential problem. Thus, results should be interpreted with 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 research on this important industry should make an attempt to explicitly examine the several questions opened by this paper. The following are among the more obvious candidates. Which accounting standards are used to manage earnings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What is the frequency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 managers’ use of reporting judgment to manage earnings rather than to communicate firm performance to investors? What factors limit earnings management by managers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Are managers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with effective corporate governance or disclosure policies less likely to engage in earnings management?</w:t>
      </w:r>
    </w:p>
    <w:p>
      <w:pPr>
        <w:keepNext w:val="0"/>
        <w:spacing w:before="240" w:after="0" w:line="260" w:lineRule="atLeast"/>
        <w:ind w:left="0" w:right="0" w:firstLine="0"/>
        <w:jc w:val="center"/>
      </w:pPr>
      <w:r>
        <w:rPr>
          <w:rFonts w:ascii="arial" w:eastAsia="arial" w:hAnsi="arial" w:cs="arial"/>
          <w:b/>
          <w:i w:val="0"/>
          <w:strike w:val="0"/>
          <w:noProof w:val="0"/>
          <w:color w:val="000000"/>
          <w:position w:val="0"/>
          <w:sz w:val="20"/>
          <w:u w:val="none"/>
          <w:vertAlign w:val="baseline"/>
        </w:rPr>
        <w:t>REFERENCES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Beattie, V., Brown, S., Ewers, D., John, B., Mason, S., Thomas, D., Turner, M. (1994). Extraordinary items and income smoothing: A positive accounting approach. </w:t>
      </w:r>
      <w:r>
        <w:rPr>
          <w:rFonts w:ascii="arial" w:eastAsia="arial" w:hAnsi="arial" w:cs="arial"/>
          <w:b w:val="0"/>
          <w:i/>
          <w:strike w:val="0"/>
          <w:noProof w:val="0"/>
          <w:color w:val="000000"/>
          <w:position w:val="0"/>
          <w:sz w:val="20"/>
          <w:u w:val="none"/>
          <w:vertAlign w:val="baseline"/>
        </w:rPr>
        <w:t>Journal of Business Finance and Accounting</w:t>
      </w:r>
      <w:r>
        <w:rPr>
          <w:rFonts w:ascii="arial" w:eastAsia="arial" w:hAnsi="arial" w:cs="arial"/>
          <w:b w:val="0"/>
          <w:i w:val="0"/>
          <w:strike w:val="0"/>
          <w:noProof w:val="0"/>
          <w:color w:val="000000"/>
          <w:position w:val="0"/>
          <w:sz w:val="20"/>
          <w:u w:val="none"/>
          <w:vertAlign w:val="baseline"/>
        </w:rPr>
        <w:t>, 21, 791–811.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Blankley, A., Comprix, J., Hong, K. (2013). Earnings management and the allocation of net periodic pension costs to interim periods. </w:t>
      </w:r>
      <w:r>
        <w:rPr>
          <w:rFonts w:ascii="arial" w:eastAsia="arial" w:hAnsi="arial" w:cs="arial"/>
          <w:b w:val="0"/>
          <w:i/>
          <w:strike w:val="0"/>
          <w:noProof w:val="0"/>
          <w:color w:val="000000"/>
          <w:position w:val="0"/>
          <w:sz w:val="20"/>
          <w:u w:val="none"/>
          <w:vertAlign w:val="baseline"/>
        </w:rPr>
        <w:t>Advances in Accounting</w:t>
      </w:r>
      <w:r>
        <w:rPr>
          <w:rFonts w:ascii="arial" w:eastAsia="arial" w:hAnsi="arial" w:cs="arial"/>
          <w:b w:val="0"/>
          <w:i w:val="0"/>
          <w:strike w:val="0"/>
          <w:noProof w:val="0"/>
          <w:color w:val="000000"/>
          <w:position w:val="0"/>
          <w:sz w:val="20"/>
          <w:u w:val="none"/>
          <w:vertAlign w:val="baseline"/>
        </w:rPr>
        <w:t>, 29(1), 27–35.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Byard, D., Hossain, M., Mitra, S. (2007).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earnings management in response to hurricanes Katrina and Rita. </w:t>
      </w:r>
      <w:r>
        <w:rPr>
          <w:rFonts w:ascii="arial" w:eastAsia="arial" w:hAnsi="arial" w:cs="arial"/>
          <w:b w:val="0"/>
          <w:i/>
          <w:strike w:val="0"/>
          <w:noProof w:val="0"/>
          <w:color w:val="000000"/>
          <w:position w:val="0"/>
          <w:sz w:val="20"/>
          <w:u w:val="none"/>
          <w:vertAlign w:val="baseline"/>
        </w:rPr>
        <w:t>Journal of Accounting and Public Policy</w:t>
      </w:r>
      <w:r>
        <w:rPr>
          <w:rFonts w:ascii="arial" w:eastAsia="arial" w:hAnsi="arial" w:cs="arial"/>
          <w:b w:val="0"/>
          <w:i w:val="0"/>
          <w:strike w:val="0"/>
          <w:noProof w:val="0"/>
          <w:color w:val="000000"/>
          <w:position w:val="0"/>
          <w:sz w:val="20"/>
          <w:u w:val="none"/>
          <w:vertAlign w:val="baseline"/>
        </w:rPr>
        <w:t xml:space="preserve"> 26(6), 733.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Cahan, S. (1992). The effect of antitrust investigations on discretionary accruals: A refined test of the political-cost hypothesis.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67(1), 77–95.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Cahan, S., Chavis, B., Elmendorf, R. (1997). Earnings management of chemical firms in response to political costs from environmental legislation. </w:t>
      </w:r>
      <w:r>
        <w:rPr>
          <w:rFonts w:ascii="arial" w:eastAsia="arial" w:hAnsi="arial" w:cs="arial"/>
          <w:b w:val="0"/>
          <w:i/>
          <w:strike w:val="0"/>
          <w:noProof w:val="0"/>
          <w:color w:val="000000"/>
          <w:position w:val="0"/>
          <w:sz w:val="20"/>
          <w:u w:val="none"/>
          <w:vertAlign w:val="baseline"/>
        </w:rPr>
        <w:t>Journal of Accounting Auditing and Finance</w:t>
      </w:r>
      <w:r>
        <w:rPr>
          <w:rFonts w:ascii="arial" w:eastAsia="arial" w:hAnsi="arial" w:cs="arial"/>
          <w:b w:val="0"/>
          <w:i w:val="0"/>
          <w:strike w:val="0"/>
          <w:noProof w:val="0"/>
          <w:color w:val="000000"/>
          <w:position w:val="0"/>
          <w:sz w:val="20"/>
          <w:u w:val="none"/>
          <w:vertAlign w:val="baseline"/>
        </w:rPr>
        <w:t xml:space="preserve"> 12, 37–65.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Chan, K., Chan, K., Jegadeesh, N., Lakonishok, J. (2006). Earnings quality and stock returns. </w:t>
      </w:r>
      <w:r>
        <w:rPr>
          <w:rFonts w:ascii="arial" w:eastAsia="arial" w:hAnsi="arial" w:cs="arial"/>
          <w:b w:val="0"/>
          <w:i/>
          <w:strike w:val="0"/>
          <w:noProof w:val="0"/>
          <w:color w:val="000000"/>
          <w:position w:val="0"/>
          <w:sz w:val="20"/>
          <w:u w:val="none"/>
          <w:vertAlign w:val="baseline"/>
        </w:rPr>
        <w:t>Journal of Business</w:t>
      </w:r>
      <w:r>
        <w:rPr>
          <w:rFonts w:ascii="arial" w:eastAsia="arial" w:hAnsi="arial" w:cs="arial"/>
          <w:b w:val="0"/>
          <w:i w:val="0"/>
          <w:strike w:val="0"/>
          <w:noProof w:val="0"/>
          <w:color w:val="000000"/>
          <w:position w:val="0"/>
          <w:sz w:val="20"/>
          <w:u w:val="none"/>
          <w:vertAlign w:val="baseline"/>
        </w:rPr>
        <w:t xml:space="preserve"> 79, 1041–1082.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CNNmoney.com. (2012). Global 500 top companies: Most profitable. Money.CNN.com/magazines/fortune/global500/2011/performers/companies/profits (accessed Sept. 20, 2012).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Cohen, D., A. Dey, Lys, T. (2008). Real and accrual-based earnings management in the pre- and post-Sarbanes-Oxley periods.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83, 757–787.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Coll, S. </w:t>
      </w:r>
      <w:r>
        <w:rPr>
          <w:rFonts w:ascii="arial" w:eastAsia="arial" w:hAnsi="arial" w:cs="arial"/>
          <w:b w:val="0"/>
          <w:i/>
          <w:strike w:val="0"/>
          <w:noProof w:val="0"/>
          <w:color w:val="000000"/>
          <w:position w:val="0"/>
          <w:sz w:val="20"/>
          <w:u w:val="none"/>
          <w:vertAlign w:val="baseline"/>
        </w:rPr>
        <w:t>Private Empire: Exxon Mobile and American Power</w:t>
      </w:r>
      <w:r>
        <w:rPr>
          <w:rFonts w:ascii="arial" w:eastAsia="arial" w:hAnsi="arial" w:cs="arial"/>
          <w:b w:val="0"/>
          <w:i w:val="0"/>
          <w:strike w:val="0"/>
          <w:noProof w:val="0"/>
          <w:color w:val="000000"/>
          <w:position w:val="0"/>
          <w:sz w:val="20"/>
          <w:u w:val="none"/>
          <w:vertAlign w:val="baseline"/>
        </w:rPr>
        <w:t>, Penguin, New York, 2012.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Cook, K., Huston R., Omer T., 2008. Earnings Management through Effective Tax Rates: The Effects of Tax-Planning Investment and the Sarbanes-Oxley Act of 2002. </w:t>
      </w:r>
      <w:r>
        <w:rPr>
          <w:rFonts w:ascii="arial" w:eastAsia="arial" w:hAnsi="arial" w:cs="arial"/>
          <w:b w:val="0"/>
          <w:i/>
          <w:strike w:val="0"/>
          <w:noProof w:val="0"/>
          <w:color w:val="000000"/>
          <w:position w:val="0"/>
          <w:sz w:val="20"/>
          <w:u w:val="none"/>
          <w:vertAlign w:val="baseline"/>
        </w:rPr>
        <w:t>Contemporary Accounting Research</w:t>
      </w:r>
      <w:r>
        <w:rPr>
          <w:rFonts w:ascii="arial" w:eastAsia="arial" w:hAnsi="arial" w:cs="arial"/>
          <w:b w:val="0"/>
          <w:i w:val="0"/>
          <w:strike w:val="0"/>
          <w:noProof w:val="0"/>
          <w:color w:val="000000"/>
          <w:position w:val="0"/>
          <w:sz w:val="20"/>
          <w:u w:val="none"/>
          <w:vertAlign w:val="baseline"/>
        </w:rPr>
        <w:t xml:space="preserve"> 25, 447–471.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Daley, L., Vigeland, R. (1983). The effects of debt covenants and political costs on the choice of accounting methods: The case of accounting for R &amp; D cost. </w:t>
      </w:r>
      <w:r>
        <w:rPr>
          <w:rFonts w:ascii="arial" w:eastAsia="arial" w:hAnsi="arial" w:cs="arial"/>
          <w:b w:val="0"/>
          <w:i/>
          <w:strike w:val="0"/>
          <w:noProof w:val="0"/>
          <w:color w:val="000000"/>
          <w:position w:val="0"/>
          <w:sz w:val="20"/>
          <w:u w:val="none"/>
          <w:vertAlign w:val="baseline"/>
        </w:rPr>
        <w:t>Journal of Accounting Economics</w:t>
      </w:r>
      <w:r>
        <w:rPr>
          <w:rFonts w:ascii="arial" w:eastAsia="arial" w:hAnsi="arial" w:cs="arial"/>
          <w:b w:val="0"/>
          <w:i w:val="0"/>
          <w:strike w:val="0"/>
          <w:noProof w:val="0"/>
          <w:color w:val="000000"/>
          <w:position w:val="0"/>
          <w:sz w:val="20"/>
          <w:u w:val="none"/>
          <w:vertAlign w:val="baseline"/>
        </w:rPr>
        <w:t xml:space="preserve"> 5, 195–211.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Dechow, P., Dichev, I. (2002). The quality of accruals and earnings: The role of accrual estimation errors.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77, 35–59.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Dechow, P., Sloan, R, Sweeney, A. (1996). Causes and consequences of earnings manipulation: An analysis of firms subject to enforcement actions by the SEC. </w:t>
      </w:r>
      <w:r>
        <w:rPr>
          <w:rFonts w:ascii="arial" w:eastAsia="arial" w:hAnsi="arial" w:cs="arial"/>
          <w:b w:val="0"/>
          <w:i/>
          <w:strike w:val="0"/>
          <w:noProof w:val="0"/>
          <w:color w:val="000000"/>
          <w:position w:val="0"/>
          <w:sz w:val="20"/>
          <w:u w:val="none"/>
          <w:vertAlign w:val="baseline"/>
        </w:rPr>
        <w:t>Contemporary Accounting Research</w:t>
      </w:r>
      <w:r>
        <w:rPr>
          <w:rFonts w:ascii="arial" w:eastAsia="arial" w:hAnsi="arial" w:cs="arial"/>
          <w:b w:val="0"/>
          <w:i w:val="0"/>
          <w:strike w:val="0"/>
          <w:noProof w:val="0"/>
          <w:color w:val="000000"/>
          <w:position w:val="0"/>
          <w:sz w:val="20"/>
          <w:u w:val="none"/>
          <w:vertAlign w:val="baseline"/>
        </w:rPr>
        <w:t xml:space="preserve"> 13, 1–36.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Dechow, P., Sloan, R, Sweeney, A. (1995). Detecting earnings management,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70, 193–225.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Deegan, C., Hallan, A. (1991). The voluntary presentation of value-added statements in Australia: A political cost perspective. </w:t>
      </w:r>
      <w:r>
        <w:rPr>
          <w:rFonts w:ascii="arial" w:eastAsia="arial" w:hAnsi="arial" w:cs="arial"/>
          <w:b w:val="0"/>
          <w:i/>
          <w:strike w:val="0"/>
          <w:noProof w:val="0"/>
          <w:color w:val="000000"/>
          <w:position w:val="0"/>
          <w:sz w:val="20"/>
          <w:u w:val="none"/>
          <w:vertAlign w:val="baseline"/>
        </w:rPr>
        <w:t>Accounting &amp; Finance</w:t>
      </w:r>
      <w:r>
        <w:rPr>
          <w:rFonts w:ascii="arial" w:eastAsia="arial" w:hAnsi="arial" w:cs="arial"/>
          <w:b w:val="0"/>
          <w:i w:val="0"/>
          <w:strike w:val="0"/>
          <w:noProof w:val="0"/>
          <w:color w:val="000000"/>
          <w:position w:val="0"/>
          <w:sz w:val="20"/>
          <w:u w:val="none"/>
          <w:vertAlign w:val="baseline"/>
        </w:rPr>
        <w:t xml:space="preserve"> 31,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Dhaliwal, D., Gleason,C., Mills,L. (2004). Last-chance earnings management: using the tax expense to meet analysts’ forecasts. </w:t>
      </w:r>
      <w:r>
        <w:rPr>
          <w:rFonts w:ascii="arial" w:eastAsia="arial" w:hAnsi="arial" w:cs="arial"/>
          <w:b w:val="0"/>
          <w:i/>
          <w:strike w:val="0"/>
          <w:noProof w:val="0"/>
          <w:color w:val="000000"/>
          <w:position w:val="0"/>
          <w:sz w:val="20"/>
          <w:u w:val="none"/>
          <w:vertAlign w:val="baseline"/>
        </w:rPr>
        <w:t>Contemporary Accounting Research</w:t>
      </w:r>
      <w:r>
        <w:rPr>
          <w:rFonts w:ascii="arial" w:eastAsia="arial" w:hAnsi="arial" w:cs="arial"/>
          <w:b w:val="0"/>
          <w:i w:val="0"/>
          <w:strike w:val="0"/>
          <w:noProof w:val="0"/>
          <w:color w:val="000000"/>
          <w:position w:val="0"/>
          <w:sz w:val="20"/>
          <w:u w:val="none"/>
          <w:vertAlign w:val="baseline"/>
        </w:rPr>
        <w:t xml:space="preserve"> 21, 431–459.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DiMaggio, P., Powell, W. (1983). The iron cage revisited: Institutional isomorphism and collective rationality in organizational fields. </w:t>
      </w:r>
      <w:r>
        <w:rPr>
          <w:rFonts w:ascii="arial" w:eastAsia="arial" w:hAnsi="arial" w:cs="arial"/>
          <w:b w:val="0"/>
          <w:i/>
          <w:strike w:val="0"/>
          <w:noProof w:val="0"/>
          <w:color w:val="000000"/>
          <w:position w:val="0"/>
          <w:sz w:val="20"/>
          <w:u w:val="none"/>
          <w:vertAlign w:val="baseline"/>
        </w:rPr>
        <w:t>American Sociological Review</w:t>
      </w:r>
      <w:r>
        <w:rPr>
          <w:rFonts w:ascii="arial" w:eastAsia="arial" w:hAnsi="arial" w:cs="arial"/>
          <w:b w:val="0"/>
          <w:i w:val="0"/>
          <w:strike w:val="0"/>
          <w:noProof w:val="0"/>
          <w:color w:val="000000"/>
          <w:position w:val="0"/>
          <w:sz w:val="20"/>
          <w:u w:val="none"/>
          <w:vertAlign w:val="baseline"/>
        </w:rPr>
        <w:t>. 42, 113–123.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Fields, T., Lys, T., Vincent, L. (2001). Empirical research on accounting choice.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31, 255–307.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Francis, J., Philbrick, D., Schipper, K. (1994). Shareholders litigation and corporate disclosures. </w:t>
      </w:r>
      <w:r>
        <w:rPr>
          <w:rFonts w:ascii="arial" w:eastAsia="arial" w:hAnsi="arial" w:cs="arial"/>
          <w:b w:val="0"/>
          <w:i/>
          <w:strike w:val="0"/>
          <w:noProof w:val="0"/>
          <w:color w:val="000000"/>
          <w:position w:val="0"/>
          <w:sz w:val="20"/>
          <w:u w:val="none"/>
          <w:vertAlign w:val="baseline"/>
        </w:rPr>
        <w:t>Journal of Accounting Research</w:t>
      </w:r>
      <w:r>
        <w:rPr>
          <w:rFonts w:ascii="arial" w:eastAsia="arial" w:hAnsi="arial" w:cs="arial"/>
          <w:b w:val="0"/>
          <w:i w:val="0"/>
          <w:strike w:val="0"/>
          <w:noProof w:val="0"/>
          <w:color w:val="000000"/>
          <w:position w:val="0"/>
          <w:sz w:val="20"/>
          <w:u w:val="none"/>
          <w:vertAlign w:val="baseline"/>
        </w:rPr>
        <w:t xml:space="preserve"> 32, 137–164.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Francis, J., LaFond, R., Olsson, P., Schipper, K (2004). Costs of equity and earnings attributes.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79(4), 967–1010.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Francis, R., LaFond, R., Olsson P., Schipper K. (2005). The market pricing of accruals quality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39 (2), 295–327.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Godfrey, J., Jones, K. (1999). Political cost influences on income smoothing via extraordinary item classification. </w:t>
      </w:r>
      <w:r>
        <w:rPr>
          <w:rFonts w:ascii="arial" w:eastAsia="arial" w:hAnsi="arial" w:cs="arial"/>
          <w:b w:val="0"/>
          <w:i/>
          <w:strike w:val="0"/>
          <w:noProof w:val="0"/>
          <w:color w:val="000000"/>
          <w:position w:val="0"/>
          <w:sz w:val="20"/>
          <w:u w:val="none"/>
          <w:vertAlign w:val="baseline"/>
        </w:rPr>
        <w:t>Accounting &amp; Finance</w:t>
      </w:r>
      <w:r>
        <w:rPr>
          <w:rFonts w:ascii="arial" w:eastAsia="arial" w:hAnsi="arial" w:cs="arial"/>
          <w:b w:val="0"/>
          <w:i w:val="0"/>
          <w:strike w:val="0"/>
          <w:noProof w:val="0"/>
          <w:color w:val="000000"/>
          <w:position w:val="0"/>
          <w:sz w:val="20"/>
          <w:u w:val="none"/>
          <w:vertAlign w:val="baseline"/>
        </w:rPr>
        <w:t xml:space="preserve"> 39, 229–253.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Grace, M., Leverty, J. (2010). Political cost incentives for managing the property-liability insurer loss reserve. </w:t>
      </w:r>
      <w:r>
        <w:rPr>
          <w:rFonts w:ascii="arial" w:eastAsia="arial" w:hAnsi="arial" w:cs="arial"/>
          <w:b w:val="0"/>
          <w:i/>
          <w:strike w:val="0"/>
          <w:noProof w:val="0"/>
          <w:color w:val="000000"/>
          <w:position w:val="0"/>
          <w:sz w:val="20"/>
          <w:u w:val="none"/>
          <w:vertAlign w:val="baseline"/>
        </w:rPr>
        <w:t>Journal of Accounting Research</w:t>
      </w:r>
      <w:r>
        <w:rPr>
          <w:rFonts w:ascii="arial" w:eastAsia="arial" w:hAnsi="arial" w:cs="arial"/>
          <w:b w:val="0"/>
          <w:i w:val="0"/>
          <w:strike w:val="0"/>
          <w:noProof w:val="0"/>
          <w:color w:val="000000"/>
          <w:position w:val="0"/>
          <w:sz w:val="20"/>
          <w:u w:val="none"/>
          <w:vertAlign w:val="baseline"/>
        </w:rPr>
        <w:t xml:space="preserve"> 48, 21–49.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Gleason, C., Pincus, M., Rego, S. (2011). Consequences of material weaknesses in tax-related internal controls for financial reporting and earnings management. Working paper, Indiana University.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Han, J., Wang, S. (1998). Political costs and earnings management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during the 1990 Persian Gulf crisis.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73 (1), 103–118.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Harkes, J., Kailing, T., Luft, G. (2012). Dissecting gas prices: Understanding pain at the pump. http://www.ensec.org/index.php?option=com_context&amp;view=article&amp; … (accessed June 12, 2012).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Healy, P., Wahlen J. (1999). A review of the earnings management literature and its implications for standard setting. </w:t>
      </w:r>
      <w:r>
        <w:rPr>
          <w:rFonts w:ascii="arial" w:eastAsia="arial" w:hAnsi="arial" w:cs="arial"/>
          <w:b w:val="0"/>
          <w:i/>
          <w:strike w:val="0"/>
          <w:noProof w:val="0"/>
          <w:color w:val="000000"/>
          <w:position w:val="0"/>
          <w:sz w:val="20"/>
          <w:u w:val="none"/>
          <w:vertAlign w:val="baseline"/>
        </w:rPr>
        <w:t>Accounting Horizons</w:t>
      </w:r>
      <w:r>
        <w:rPr>
          <w:rFonts w:ascii="arial" w:eastAsia="arial" w:hAnsi="arial" w:cs="arial"/>
          <w:b w:val="0"/>
          <w:i w:val="0"/>
          <w:strike w:val="0"/>
          <w:noProof w:val="0"/>
          <w:color w:val="000000"/>
          <w:position w:val="0"/>
          <w:sz w:val="20"/>
          <w:u w:val="none"/>
          <w:vertAlign w:val="baseline"/>
        </w:rPr>
        <w:t xml:space="preserve"> 13, 365–383.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Holder, A., K. Karim, A. Robin, 2013. Was Dodd-Frank justified in exempting small firms from Section 404b compliance? </w:t>
      </w:r>
      <w:r>
        <w:rPr>
          <w:rFonts w:ascii="arial" w:eastAsia="arial" w:hAnsi="arial" w:cs="arial"/>
          <w:b w:val="0"/>
          <w:i/>
          <w:strike w:val="0"/>
          <w:noProof w:val="0"/>
          <w:color w:val="000000"/>
          <w:position w:val="0"/>
          <w:sz w:val="20"/>
          <w:u w:val="none"/>
          <w:vertAlign w:val="baseline"/>
        </w:rPr>
        <w:t>Accounting Horizons</w:t>
      </w:r>
      <w:r>
        <w:rPr>
          <w:rFonts w:ascii="arial" w:eastAsia="arial" w:hAnsi="arial" w:cs="arial"/>
          <w:b w:val="0"/>
          <w:i w:val="0"/>
          <w:strike w:val="0"/>
          <w:noProof w:val="0"/>
          <w:color w:val="000000"/>
          <w:position w:val="0"/>
          <w:sz w:val="20"/>
          <w:u w:val="none"/>
          <w:vertAlign w:val="baseline"/>
        </w:rPr>
        <w:t>, 27, 1–22.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Hughes, K., Johnston, J., Omonuk, J., Dugan, M. (2012). Rate regulation of U.S. electric utilities: Does it deter earnings management? </w:t>
      </w:r>
      <w:r>
        <w:rPr>
          <w:rFonts w:ascii="arial" w:eastAsia="arial" w:hAnsi="arial" w:cs="arial"/>
          <w:b w:val="0"/>
          <w:i/>
          <w:strike w:val="0"/>
          <w:noProof w:val="0"/>
          <w:color w:val="000000"/>
          <w:position w:val="0"/>
          <w:sz w:val="20"/>
          <w:u w:val="none"/>
          <w:vertAlign w:val="baseline"/>
        </w:rPr>
        <w:t>Advances in Accounting</w:t>
      </w:r>
      <w:r>
        <w:rPr>
          <w:rFonts w:ascii="arial" w:eastAsia="arial" w:hAnsi="arial" w:cs="arial"/>
          <w:b w:val="0"/>
          <w:i w:val="0"/>
          <w:strike w:val="0"/>
          <w:noProof w:val="0"/>
          <w:color w:val="000000"/>
          <w:position w:val="0"/>
          <w:sz w:val="20"/>
          <w:u w:val="none"/>
          <w:vertAlign w:val="baseline"/>
        </w:rPr>
        <w:t>, 28(1), 49–63.</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 Morris, M. (1992). Taxes and firm size: The effects of tax legislation during the 1980s. </w:t>
      </w:r>
      <w:r>
        <w:rPr>
          <w:rFonts w:ascii="arial" w:eastAsia="arial" w:hAnsi="arial" w:cs="arial"/>
          <w:b w:val="0"/>
          <w:i/>
          <w:strike w:val="0"/>
          <w:noProof w:val="0"/>
          <w:color w:val="000000"/>
          <w:position w:val="0"/>
          <w:sz w:val="20"/>
          <w:u w:val="none"/>
          <w:vertAlign w:val="baseline"/>
        </w:rPr>
        <w:t>Journal of the American Tax Association</w:t>
      </w:r>
      <w:r>
        <w:rPr>
          <w:rFonts w:ascii="arial" w:eastAsia="arial" w:hAnsi="arial" w:cs="arial"/>
          <w:b w:val="0"/>
          <w:i w:val="0"/>
          <w:strike w:val="0"/>
          <w:noProof w:val="0"/>
          <w:color w:val="000000"/>
          <w:position w:val="0"/>
          <w:sz w:val="20"/>
          <w:u w:val="none"/>
          <w:vertAlign w:val="baseline"/>
        </w:rPr>
        <w:t xml:space="preserve"> 14, 80–98.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Key, K. (1997). Political cost incentives for earnings management in the cable television industry.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23, 309–337.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Kirchgaessner, S., Politi, J. (2011). Boehner questions tax breaks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b w:val="0"/>
          <w:i/>
          <w:strike w:val="0"/>
          <w:noProof w:val="0"/>
          <w:color w:val="000000"/>
          <w:position w:val="0"/>
          <w:sz w:val="20"/>
          <w:u w:val="none"/>
          <w:vertAlign w:val="baseline"/>
        </w:rPr>
        <w:t>Financial Times.com</w:t>
      </w:r>
      <w:r>
        <w:rPr>
          <w:rFonts w:ascii="arial" w:eastAsia="arial" w:hAnsi="arial" w:cs="arial"/>
          <w:b w:val="0"/>
          <w:i w:val="0"/>
          <w:strike w:val="0"/>
          <w:noProof w:val="0"/>
          <w:color w:val="000000"/>
          <w:position w:val="0"/>
          <w:sz w:val="20"/>
          <w:u w:val="none"/>
          <w:vertAlign w:val="baseline"/>
        </w:rPr>
        <w:t>. http://www.ft.com/cms/s/0/cbdf9750-7038-11e0-bea7-00144feabdc0.html#ixzz1afaFIBow (accessed April 26, 2011).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Kocieniewski, D. (2010).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fights a tax, it reaps subsidies.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http://www.nytimes.com/2010/07/04/business/04bptax.html (accessed July 4, 2010).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Kothari, S., Leone A., Wasley C. (2005). Performance matched discretionary accrual measures.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39, 163–197.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Lee, C., Hsieh, D. (1985). Choice of inventory accounting methods: A comparative analysis of alternative hypotheses </w:t>
      </w:r>
      <w:r>
        <w:rPr>
          <w:rFonts w:ascii="arial" w:eastAsia="arial" w:hAnsi="arial" w:cs="arial"/>
          <w:b w:val="0"/>
          <w:i/>
          <w:strike w:val="0"/>
          <w:noProof w:val="0"/>
          <w:color w:val="000000"/>
          <w:position w:val="0"/>
          <w:sz w:val="20"/>
          <w:u w:val="none"/>
          <w:vertAlign w:val="baseline"/>
        </w:rPr>
        <w:t>Journal of Accounting Research</w:t>
      </w:r>
      <w:r>
        <w:rPr>
          <w:rFonts w:ascii="arial" w:eastAsia="arial" w:hAnsi="arial" w:cs="arial"/>
          <w:b w:val="0"/>
          <w:i w:val="0"/>
          <w:strike w:val="0"/>
          <w:noProof w:val="0"/>
          <w:color w:val="000000"/>
          <w:position w:val="0"/>
          <w:sz w:val="20"/>
          <w:u w:val="none"/>
          <w:vertAlign w:val="baseline"/>
        </w:rPr>
        <w:t xml:space="preserve"> 23, 468–485.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Makar, S., Alam, P. (1998). Earnings management and antitrust investigations: Political costs over business cycles. </w:t>
      </w:r>
      <w:r>
        <w:rPr>
          <w:rFonts w:ascii="arial" w:eastAsia="arial" w:hAnsi="arial" w:cs="arial"/>
          <w:b w:val="0"/>
          <w:i/>
          <w:strike w:val="0"/>
          <w:noProof w:val="0"/>
          <w:color w:val="000000"/>
          <w:position w:val="0"/>
          <w:sz w:val="20"/>
          <w:u w:val="none"/>
          <w:vertAlign w:val="baseline"/>
        </w:rPr>
        <w:t>Journal of Business, Finance and Accounting</w:t>
      </w:r>
      <w:r>
        <w:rPr>
          <w:rFonts w:ascii="arial" w:eastAsia="arial" w:hAnsi="arial" w:cs="arial"/>
          <w:b w:val="0"/>
          <w:i w:val="0"/>
          <w:strike w:val="0"/>
          <w:noProof w:val="0"/>
          <w:color w:val="000000"/>
          <w:position w:val="0"/>
          <w:sz w:val="20"/>
          <w:u w:val="none"/>
          <w:vertAlign w:val="baseline"/>
        </w:rPr>
        <w:t xml:space="preserve"> 25, 701–720.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McNichols, M. (2002). Discussion of the quality of accruals and earnings: The role of accrual estimation errors.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77 (Supplement), 61–69.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Meyer, J., Rowan, B. (1977). Institutional organizations: Formal structure as myth and ceremony. </w:t>
      </w:r>
      <w:r>
        <w:rPr>
          <w:rFonts w:ascii="arial" w:eastAsia="arial" w:hAnsi="arial" w:cs="arial"/>
          <w:b w:val="0"/>
          <w:i/>
          <w:strike w:val="0"/>
          <w:noProof w:val="0"/>
          <w:color w:val="000000"/>
          <w:position w:val="0"/>
          <w:sz w:val="20"/>
          <w:u w:val="none"/>
          <w:vertAlign w:val="baseline"/>
        </w:rPr>
        <w:t>American Journal of Sociology</w:t>
      </w:r>
      <w:r>
        <w:rPr>
          <w:rFonts w:ascii="arial" w:eastAsia="arial" w:hAnsi="arial" w:cs="arial"/>
          <w:b w:val="0"/>
          <w:i w:val="0"/>
          <w:strike w:val="0"/>
          <w:noProof w:val="0"/>
          <w:color w:val="000000"/>
          <w:position w:val="0"/>
          <w:sz w:val="20"/>
          <w:u w:val="none"/>
          <w:vertAlign w:val="baseline"/>
        </w:rPr>
        <w:t>, 83(2), 340–361.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Meyer, M., Karim, K., Gara, S. (2000). “Political costs and accounting method choice: The pharmaceutical industry.” </w:t>
      </w:r>
      <w:r>
        <w:rPr>
          <w:rFonts w:ascii="arial" w:eastAsia="arial" w:hAnsi="arial" w:cs="arial"/>
          <w:b w:val="0"/>
          <w:i/>
          <w:strike w:val="0"/>
          <w:noProof w:val="0"/>
          <w:color w:val="000000"/>
          <w:position w:val="0"/>
          <w:sz w:val="20"/>
          <w:u w:val="none"/>
          <w:vertAlign w:val="baseline"/>
        </w:rPr>
        <w:t>The Mid-Atlantic Journal of Business</w:t>
      </w:r>
      <w:r>
        <w:rPr>
          <w:rFonts w:ascii="arial" w:eastAsia="arial" w:hAnsi="arial" w:cs="arial"/>
          <w:b w:val="0"/>
          <w:i w:val="0"/>
          <w:strike w:val="0"/>
          <w:noProof w:val="0"/>
          <w:color w:val="000000"/>
          <w:position w:val="0"/>
          <w:sz w:val="20"/>
          <w:u w:val="none"/>
          <w:vertAlign w:val="baseline"/>
        </w:rPr>
        <w:t>, 36(4), 193–215.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Mitra, S., Crumbley, L. (2003). The earnings management and politically sensitive environment: Another test of corporate response to political costs. </w:t>
      </w:r>
      <w:r>
        <w:rPr>
          <w:rFonts w:ascii="arial" w:eastAsia="arial" w:hAnsi="arial" w:cs="arial"/>
          <w:b w:val="0"/>
          <w:i/>
          <w:strike w:val="0"/>
          <w:noProof w:val="0"/>
          <w:color w:val="000000"/>
          <w:position w:val="0"/>
          <w:sz w:val="20"/>
          <w:u w:val="none"/>
          <w:vertAlign w:val="baseline"/>
        </w:rPr>
        <w:t xml:space="preserve">Petroleum Accounting and Financial Management Journal </w:t>
      </w:r>
      <w:r>
        <w:rPr>
          <w:rFonts w:ascii="arial" w:eastAsia="arial" w:hAnsi="arial" w:cs="arial"/>
          <w:b w:val="0"/>
          <w:i w:val="0"/>
          <w:strike w:val="0"/>
          <w:noProof w:val="0"/>
          <w:color w:val="000000"/>
          <w:position w:val="0"/>
          <w:sz w:val="20"/>
          <w:u w:val="none"/>
          <w:vertAlign w:val="baseline"/>
        </w:rPr>
        <w:t>(Fall/Winter) 22(3), 1–24.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Murphy, K., Higgins, M. </w:t>
      </w:r>
      <w:r>
        <w:rPr>
          <w:rFonts w:ascii="arial" w:eastAsia="arial" w:hAnsi="arial" w:cs="arial"/>
          <w:b w:val="0"/>
          <w:i/>
          <w:strike w:val="0"/>
          <w:noProof w:val="0"/>
          <w:color w:val="000000"/>
          <w:position w:val="0"/>
          <w:sz w:val="20"/>
          <w:u w:val="none"/>
          <w:vertAlign w:val="baseline"/>
        </w:rPr>
        <w:t>Concepts in Federal Income Taxation</w:t>
      </w:r>
      <w:r>
        <w:rPr>
          <w:rFonts w:ascii="arial" w:eastAsia="arial" w:hAnsi="arial" w:cs="arial"/>
          <w:b w:val="0"/>
          <w:i w:val="0"/>
          <w:strike w:val="0"/>
          <w:noProof w:val="0"/>
          <w:color w:val="000000"/>
          <w:position w:val="0"/>
          <w:sz w:val="20"/>
          <w:u w:val="none"/>
          <w:vertAlign w:val="baseline"/>
        </w:rPr>
        <w:t>, South-Western, Mason, OH, 2013.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Patten, D., Trompeter, C. (2003). Corporate responses to political costs: An examination of the relation between environmental disclosure and earnings management. </w:t>
      </w:r>
      <w:r>
        <w:rPr>
          <w:rFonts w:ascii="arial" w:eastAsia="arial" w:hAnsi="arial" w:cs="arial"/>
          <w:b w:val="0"/>
          <w:i/>
          <w:strike w:val="0"/>
          <w:noProof w:val="0"/>
          <w:color w:val="000000"/>
          <w:position w:val="0"/>
          <w:sz w:val="20"/>
          <w:u w:val="none"/>
          <w:vertAlign w:val="baseline"/>
        </w:rPr>
        <w:t>Journal of Accounting and Public Policy</w:t>
      </w:r>
      <w:r>
        <w:rPr>
          <w:rFonts w:ascii="arial" w:eastAsia="arial" w:hAnsi="arial" w:cs="arial"/>
          <w:b w:val="0"/>
          <w:i w:val="0"/>
          <w:strike w:val="0"/>
          <w:noProof w:val="0"/>
          <w:color w:val="000000"/>
          <w:position w:val="0"/>
          <w:sz w:val="20"/>
          <w:u w:val="none"/>
          <w:vertAlign w:val="baseline"/>
        </w:rPr>
        <w:t xml:space="preserve"> 22(1), 83–94.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PBS, 2009. President Obama outlines plan to close tax loopholes, raise U.S. revenue. </w:t>
      </w:r>
      <w:r>
        <w:rPr>
          <w:rFonts w:ascii="arial" w:eastAsia="arial" w:hAnsi="arial" w:cs="arial"/>
          <w:b w:val="0"/>
          <w:i/>
          <w:strike w:val="0"/>
          <w:noProof w:val="0"/>
          <w:color w:val="000000"/>
          <w:position w:val="0"/>
          <w:sz w:val="20"/>
          <w:u w:val="none"/>
          <w:vertAlign w:val="baseline"/>
        </w:rPr>
        <w:t>PBS NEWSHOUR</w:t>
      </w:r>
      <w:r>
        <w:rPr>
          <w:rFonts w:ascii="arial" w:eastAsia="arial" w:hAnsi="arial" w:cs="arial"/>
          <w:b w:val="0"/>
          <w:i w:val="0"/>
          <w:strike w:val="0"/>
          <w:noProof w:val="0"/>
          <w:color w:val="000000"/>
          <w:position w:val="0"/>
          <w:sz w:val="20"/>
          <w:u w:val="none"/>
          <w:vertAlign w:val="baseline"/>
        </w:rPr>
        <w:t xml:space="preserve"> http://www.pbs.org/newshour/updates/business/jan-june09/0504_obamataxes.html (accessed May 4, 2009).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Perols, J., Lougee, B. (2011). The relation between earnings management and financial statement fraud. </w:t>
      </w:r>
      <w:r>
        <w:rPr>
          <w:rFonts w:ascii="arial" w:eastAsia="arial" w:hAnsi="arial" w:cs="arial"/>
          <w:b w:val="0"/>
          <w:i/>
          <w:strike w:val="0"/>
          <w:noProof w:val="0"/>
          <w:color w:val="000000"/>
          <w:position w:val="0"/>
          <w:sz w:val="20"/>
          <w:u w:val="none"/>
          <w:vertAlign w:val="baseline"/>
        </w:rPr>
        <w:t>Advances in Accounting</w:t>
      </w:r>
      <w:r>
        <w:rPr>
          <w:rFonts w:ascii="arial" w:eastAsia="arial" w:hAnsi="arial" w:cs="arial"/>
          <w:b w:val="0"/>
          <w:i w:val="0"/>
          <w:strike w:val="0"/>
          <w:noProof w:val="0"/>
          <w:color w:val="000000"/>
          <w:position w:val="0"/>
          <w:sz w:val="20"/>
          <w:u w:val="none"/>
          <w:vertAlign w:val="baseline"/>
        </w:rPr>
        <w:t>, 27(1), 39–53.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Phillips, J., Pincus, M, Rego, S. (2003). Earnings management: new evidence based on deferred tax expense.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78, 491–521.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Trotman, K. (1981). Associations between social responsibility disclosure and characteristics of companies. </w:t>
      </w:r>
      <w:r>
        <w:rPr>
          <w:rFonts w:ascii="arial" w:eastAsia="arial" w:hAnsi="arial" w:cs="arial"/>
          <w:b w:val="0"/>
          <w:i/>
          <w:strike w:val="0"/>
          <w:noProof w:val="0"/>
          <w:color w:val="000000"/>
          <w:position w:val="0"/>
          <w:sz w:val="20"/>
          <w:u w:val="none"/>
          <w:vertAlign w:val="baseline"/>
        </w:rPr>
        <w:t>Accounting, Organizations and Society</w:t>
      </w:r>
      <w:r>
        <w:rPr>
          <w:rFonts w:ascii="arial" w:eastAsia="arial" w:hAnsi="arial" w:cs="arial"/>
          <w:b w:val="0"/>
          <w:i w:val="0"/>
          <w:strike w:val="0"/>
          <w:noProof w:val="0"/>
          <w:color w:val="000000"/>
          <w:position w:val="0"/>
          <w:sz w:val="20"/>
          <w:u w:val="none"/>
          <w:vertAlign w:val="baseline"/>
        </w:rPr>
        <w:t xml:space="preserve"> 6, 355–362.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Watts, R., Zimmerman, J. </w:t>
      </w:r>
      <w:r>
        <w:rPr>
          <w:rFonts w:ascii="arial" w:eastAsia="arial" w:hAnsi="arial" w:cs="arial"/>
          <w:b w:val="0"/>
          <w:i/>
          <w:strike w:val="0"/>
          <w:noProof w:val="0"/>
          <w:color w:val="000000"/>
          <w:position w:val="0"/>
          <w:sz w:val="20"/>
          <w:u w:val="none"/>
          <w:vertAlign w:val="baseline"/>
        </w:rPr>
        <w:t>Positive Accounting Theory</w:t>
      </w:r>
      <w:r>
        <w:rPr>
          <w:rFonts w:ascii="arial" w:eastAsia="arial" w:hAnsi="arial" w:cs="arial"/>
          <w:b w:val="0"/>
          <w:i w:val="0"/>
          <w:strike w:val="0"/>
          <w:noProof w:val="0"/>
          <w:color w:val="000000"/>
          <w:position w:val="0"/>
          <w:sz w:val="20"/>
          <w:u w:val="none"/>
          <w:vertAlign w:val="baseline"/>
        </w:rPr>
        <w:t>. Prentice-Hall, Englewood Cliffs, NJ, 1986.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Watts, R., Zimmerman, J. (1978). Towards a positive theory of the determination of accounting standards.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53, 112–134.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Wilson M, Shailer G. (2007). Accounting manipulations and political costs: Tooth &amp; Co Ltd, 1910–1965 </w:t>
      </w:r>
      <w:r>
        <w:rPr>
          <w:rFonts w:ascii="arial" w:eastAsia="arial" w:hAnsi="arial" w:cs="arial"/>
          <w:b w:val="0"/>
          <w:i/>
          <w:strike w:val="0"/>
          <w:noProof w:val="0"/>
          <w:color w:val="000000"/>
          <w:position w:val="0"/>
          <w:sz w:val="20"/>
          <w:u w:val="none"/>
          <w:vertAlign w:val="baseline"/>
        </w:rPr>
        <w:t>Accounting and Business Research</w:t>
      </w:r>
      <w:r>
        <w:rPr>
          <w:rFonts w:ascii="arial" w:eastAsia="arial" w:hAnsi="arial" w:cs="arial"/>
          <w:b w:val="0"/>
          <w:i w:val="0"/>
          <w:strike w:val="0"/>
          <w:noProof w:val="0"/>
          <w:color w:val="000000"/>
          <w:position w:val="0"/>
          <w:sz w:val="20"/>
          <w:u w:val="none"/>
          <w:vertAlign w:val="baseline"/>
        </w:rPr>
        <w:t xml:space="preserve"> 37, 247–266.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Wong, J. (1988a). Economic incentives for the voluntary disclosure of current cost financial statements.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10, 151–167.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Wong, J. (1988b). Political costs and an intraperiod accounting choice for export tax credits.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10, 37–51.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Yergin, D. </w:t>
      </w:r>
      <w:r>
        <w:rPr>
          <w:rFonts w:ascii="arial" w:eastAsia="arial" w:hAnsi="arial" w:cs="arial"/>
          <w:b w:val="0"/>
          <w:i/>
          <w:strike w:val="0"/>
          <w:noProof w:val="0"/>
          <w:color w:val="000000"/>
          <w:position w:val="0"/>
          <w:sz w:val="20"/>
          <w:u w:val="none"/>
          <w:vertAlign w:val="baseline"/>
        </w:rPr>
        <w:t xml:space="preserve">The Prize: The Epic Quest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Money and Power</w:t>
      </w:r>
      <w:r>
        <w:rPr>
          <w:rFonts w:ascii="arial" w:eastAsia="arial" w:hAnsi="arial" w:cs="arial"/>
          <w:b w:val="0"/>
          <w:i w:val="0"/>
          <w:strike w:val="0"/>
          <w:noProof w:val="0"/>
          <w:color w:val="000000"/>
          <w:position w:val="0"/>
          <w:sz w:val="20"/>
          <w:u w:val="none"/>
          <w:vertAlign w:val="baseline"/>
        </w:rPr>
        <w:t>, Free Press, New York, 1992.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Zmijewski, M., Hagerman, R. (1981). An income strategy approach to the positive theory of accounting and standard setting choice.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3, 129–149.</w:t>
      </w:r>
    </w:p>
    <w:p>
      <w:pPr>
        <w:keepNext w:val="0"/>
        <w:spacing w:before="120" w:after="0" w:line="220" w:lineRule="atLeast"/>
        <w:ind w:left="0" w:right="0" w:firstLine="0"/>
        <w:jc w:val="left"/>
      </w:pP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Gas &amp; Energy Quarterly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The authors are, respectively, Assistant Professor at University of Toledo; Professor at Case Western Reserve University; and Professors at University of Massachusetts.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1.1 Scope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Scope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BN3-1710-R03J-X4MV-00000-00">
    <vt:lpwstr>Doc::/shared/document|contextualFeaturePermID::1516831</vt:lpwstr>
  </property>
  <property fmtid="{D5CDD505-2E9C-101B-9397-08002B2CF9AE}" pid="5" name="UserPermID">
    <vt:lpwstr>urn:user:PA184731150</vt:lpwstr>
  </property>
</Properties>
</file>