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75pt;height:30pt">
            <v:imagedata r:id="rId4" o:title=""/>
          </v:shape>
        </w:pict>
      </w:r>
    </w:p>
    <w:p>
      <w:pPr>
        <w:keepNext w:val="0"/>
        <w:spacing w:before="80" w:after="0" w:line="24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Date and Time: </w:t>
      </w:r>
      <w:r>
        <w:rPr>
          <w:rFonts w:ascii="Arial" w:eastAsia="Arial" w:hAnsi="Arial" w:cs="Arial"/>
          <w:b w:val="0"/>
          <w:i w:val="0"/>
          <w:strike w:val="0"/>
          <w:noProof w:val="0"/>
          <w:color w:val="000000"/>
          <w:position w:val="0"/>
          <w:sz w:val="20"/>
          <w:u w:val="none"/>
          <w:vertAlign w:val="baseline"/>
        </w:rPr>
        <w:t>Tuesday, April 16, 2024 2:50:00 PM EDT</w:t>
      </w:r>
    </w:p>
    <w:p>
      <w:pPr>
        <w:keepNext w:val="0"/>
        <w:spacing w:before="80" w:after="0" w:line="240" w:lineRule="atLeast"/>
        <w:ind w:left="0" w:right="0" w:firstLine="0"/>
        <w:jc w:val="left"/>
      </w:pPr>
      <w:r>
        <w:rPr>
          <w:rFonts w:ascii="Arial" w:eastAsia="Arial" w:hAnsi="Arial" w:cs="Arial"/>
          <w:b/>
          <w:i w:val="0"/>
          <w:strike w:val="0"/>
          <w:noProof w:val="0"/>
          <w:color w:val="000000"/>
          <w:position w:val="0"/>
          <w:sz w:val="20"/>
          <w:u w:val="none"/>
          <w:vertAlign w:val="baseline"/>
        </w:rPr>
        <w:t xml:space="preserve">Job Number: </w:t>
      </w:r>
      <w:r>
        <w:rPr>
          <w:rFonts w:ascii="Arial" w:eastAsia="Arial" w:hAnsi="Arial" w:cs="Arial"/>
          <w:b w:val="0"/>
          <w:i w:val="0"/>
          <w:strike w:val="0"/>
          <w:noProof w:val="0"/>
          <w:color w:val="000000"/>
          <w:position w:val="0"/>
          <w:sz w:val="20"/>
          <w:u w:val="none"/>
          <w:vertAlign w:val="baseline"/>
        </w:rPr>
        <w:t>222078835</w:t>
      </w:r>
    </w:p>
    <w:p>
      <w:pPr>
        <w:keepNext w:val="0"/>
        <w:spacing w:before="360" w:after="0" w:line="360" w:lineRule="atLeast"/>
        <w:ind w:left="0" w:right="0" w:firstLine="0"/>
        <w:jc w:val="both"/>
      </w:pPr>
      <w:r>
        <w:rPr>
          <w:rFonts w:ascii="Arial" w:eastAsia="Arial" w:hAnsi="Arial" w:cs="Arial"/>
          <w:b/>
          <w:i w:val="0"/>
          <w:strike w:val="0"/>
          <w:noProof w:val="0"/>
          <w:color w:val="000000"/>
          <w:position w:val="0"/>
          <w:sz w:val="24"/>
          <w:u w:val="none"/>
          <w:vertAlign w:val="baseline"/>
        </w:rPr>
        <w:t>Documents (100)</w:t>
      </w:r>
    </w:p>
    <w:p>
      <w:pPr>
        <w:keepNext w:val="0"/>
        <w:spacing w:before="200" w:after="0" w:line="300" w:lineRule="atLeast"/>
        <w:ind w:left="440" w:right="0" w:hanging="290"/>
        <w:jc w:val="left"/>
      </w:pPr>
      <w:r>
        <w:rPr>
          <w:rFonts w:ascii="Arial" w:eastAsia="Arial" w:hAnsi="Arial" w:cs="Arial"/>
          <w:b w:val="0"/>
          <w:sz w:val="20"/>
        </w:rPr>
        <w:t>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NOTE: Too Big to Nail? Legislative Solutions to Big Tech Monopolies in an Age of Relaxed Antitrust Enforcement</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VECTORS TO FEDERAL COURT: UNIQUE APPROACHES TO SUBJECT MATTER JURISDICTION IN AVIATION CASES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52.34 Appellate Review in Specific Kinds of Cases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CASENOTE &amp; COMMENT: THE SCOPE OF EMPLOYMENT REQUIREMENT OF THE FEDERAL TORT CLAIMS ACT: THE IMPROPRIETY AND IMPLICATIONS OF THE MONTEZ DECISION, AND THE SUPERIOR JURISDICTIONAL PRIMA FACIE APPROACH</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LEGAL DEVELOPMENTS IN 2017 AFFECTING THE OIL AND GAS EXPLORATION AND PRODUCTION INDUSTRY</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Legal Developments in 2017 Affecting the Oil and Gas Exploration and Production Industry</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NOTE: HITE V. FALCON PARTNERS: A MODEL RULE FOR MARCELLUS AND UTICA SHALE STATES PRECLUDING THE USE OF DELAY RENTAL PAYMENTS TO EXTEND THE PRIMARY TERM IN AN OIL AND GAS LEASE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2003 NINTH CIRCUIT ENVIRONMENTAL REVIEW: CASE SUMMARY</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2019-65 RMMLF PROC 28</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OHIO</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SYMPOSIUM: THE AGING AMERICAN WORKFORCE: THIRTY YEARS UNDER THE AGE DISCRIMINATION IN EMPLOYMENT ACT: ARTICLE: THE AGE DISCRIMINATION IN EMPLOYMENT ACT AT THIRTY: WHERE IT'S BEEN, WHERE IT IS TODAY, WHERE IT'S GOING</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72 Am Jur 2d State and Local Taxation § 615</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OHIO</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NOTE: No Longer Safe at Home: Preventing the Misuse of Federal Common Law of Foreign Relations as a Defense Tactic in Private Transnational Litigation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Legal Developments in 2014 Affecting the Oil and Gas Exploration and Production Industry</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16.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ARTICLES: The Use and Abuse of Location- Specific Rent</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17.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The Trump Effect on Power Plant Carbon Dioxide Emissions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18.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21.01 The Common-Law Antecedents Affecting Enhanced Recovery Operations—Liability Based on Negligence, Strict Liability, Trespass, or Nuisance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19.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FUTURE-PROOFING ENERGY TRANSPORT LAW</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20.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REGULATION OF RADIOACTIVE FRACKING WASTE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21.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3.03 Limitation on Percentage Depletion Deductions Based on Taxable Income From Property</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22.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No Title in Orginal</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38 Am Jur 2d Gas and Oil § 9</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24.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1.1 Scope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25.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3.1</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26.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PRIVATE ROYALTY ISSUES: A CANADIAN VIEWPOINT</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27.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SL005 ALI-ABA 1265</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28.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2001 NINTH CIRCUIT ENVIROMENTAL REVIEW: CASE SUMMARIES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29.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5.01 Title III—Oil and Gas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30.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2014 OIL &amp; GAS CASE LAW UPDATE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31.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CASE NOTES: United Technologies Corporation v. Groppo: Federal Sales and Use Tax Immunity and Connecticut Government Contractors; Statutory Right or Constitutional Privilege?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32.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Carbon Capture and Storage Program's NEPA Compliance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33.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COMMENT: UNITED STATES FAIR EMPLOYMENT LAW IN THE TRANSNATIONAL EMPLOYMENT ARENA: THE CASE FOR THE EXTRATERRITORIAL APPLICATION OF TITLE VII OF THE CIVIL RIGHTS ACT OF 1964.</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34.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Nat. Gas Trans. Info. Serv. ¶501</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35.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STUDENT COMMENT: The Fossil Fuel Phase-Out's Multi-Million Dollar Problem: An Environmental Justice Analysis Of Idle Oil Well Management in California</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36.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2012-1 RMMLF PROC 5</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37.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Ruminations on the Continuing Evolution of Trespass Law in the Context of Mineral Development</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38.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WHEN THE EXCEPTION BECOMES THE RULE: REGULATORY EQUITY AND THE FORMULATION OF ENERGY POLICY THROUGH AN EXCEPTIONS PROCESS.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39.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FINDING, ACCESSING, RUNNING, AND EXAMINING THE LOCAL RECORDS AND PREPARING THE CHAIN OF TITLE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40.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PROFESSIONAL ARTICLE: Hydraulic Fracturing: If Fractures Cross Property Lines, is There an Actionable Subsurface Trespass?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41.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Survey Article: Labor and Employment Law Update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42.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13.03 Substantial Similarity</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43.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ARTICLE:APPELLATE REVIEW OF MULTI-CLAIM GENERAL VERDICTS: THE LIFE AND PREMATURE DEATH OF THE BALDWIN PRINCIPLE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44.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ARTICLE:Litigating Time in America at the Turn of the Twentieth Century</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45.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PEREMPTORY CHALLENGES, GRUTTER, AND CRITICAL MASS: A MEANS OF RECLAIMING THE PROMISE OF BATSON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46.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51.02 Real Property Interests in Minerals and Production Rights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47.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64 Rocky Mt. Min. L. Inst. Chapter-23 2018</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SYMPOSIUM: MISSING INFORMATION: THE SCIENTIFIC DATA GAP IN CONVERSATION AND CHEMICAL REGULATION: Data Gaps in Natural Resource Management: Sniffing for Leaks Along the Information Pipeline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49.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VCDX0210P ALI-ABA 631</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50.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VCDX0210P ALI-ABA 631</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51.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Ohio</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52.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To Defer or Not to Defer: A Study of Federal Circuit Court Deference to District Court Rulings on State Law.</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53.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Recent Development: Recent Developments in Admiralty and Maritime Law at the National Level and in the Fifth and Eleventh Circuits*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54.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What Price Biodiversity? Economic Incentives and Biodiversity Conservation in the United States *** This Article was previously published by the Center for International Environmental Law. It has been slightly modified for the Journal of Environmental Law and Litigation.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55.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STAKING MINING CLAIMS ON REVOKED PUBLIC LAND WITHDRAWALS: ISSUES AND ALTERNATIVE STRATEGIES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56.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Behavioral Ethics, Deception, and Legal Negotiation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57.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2015-2 RMMLF PROC 2</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58.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2016-3 RMMLF PROC 2B</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59.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2021-67 Rocky Mt. Min. L. Fdn. 26</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60.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The Continuing Role of Implied Covenants in Developing Leased Lands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61.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TITLE EXAMINATION OF FEE LANDS*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62.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COMMENT: INTERESTING INEQUITIES: BRINGING SYMMETRY AND CERTAINTY TO PREJUDGMENT INTEREST LAW IN TEXAS This paper was selected as the recipient of the 1994 Susman, Godfrey, L.L.P. Award for an outstanding paper in the field of general litigation.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63.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Suppression of Environmental Science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64.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35D PERMANENT DISABILITY—RATINGS, Part 1 of 2</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65.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A LANDMAN'S WORK IS THE FOUNDATION FOR ACCURATELY DETERMINING MINERAL OWNERSHIP UNDER RIGHTS-OF-WAY: SO, HOW SHOULD A LANDMAN SEARCH FOR ROADWAY TITLE?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NEPA PROCESS FOR ENERGY PROJECTS: UNIQUE CHALLENGES AND NEW DIRECTIONS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67.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NOTE: CENTER FOR BIOLOGICAL DIVERSITY V. BUREAU OF LAND MANAGEMENT: FRACTURED DEFERENCE IN CALIFORNIA'S MONTEREY SHALE FORMATION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68.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YOU PAID FOR THE TITLE OPINION, NOW WHAT DO YOU DO WITH IT: HANDLING TITLE CURATIVE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69.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SR004 ALI-ABA 179</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70.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71 Am Jur 2d State and Local Taxation § 132</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71.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AN ARM AND A LEG: 1 Compare Mum Owes Leg to Rescue Chopper, Auckland Rescue Helicopter Trust (Feb. 5, 2014, 5:00 AM), http://rescuehelicopter.org.nz/news/mum-owes-leg-to-rescue-chopper, and Elk Hunter Uses His SPOT Device to Assist Fellow Hunter in Northern New Mexico, SPOT, http://www.findmespot.com/en/ spotemergency/index.php?article_id=1060 (last visited Sept. 28, 2016) (describing the rescue of a hunter with broken leg), with franky, Cost of Yosemite Helicopter Rescue, SuperTopo (Nov. 10, 2015, 9:42 PM), http://www.supertopo.com/climbers-forum/2715105/cost-of-yosemite-helicopter-rescue ("There is a very good chance that you'll end up on a private … helicopter that will charge an arm and a leg."). PAYING FOR HELICOPTER AIR AMBULANCES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72.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Drawing Circles in the Sand: Extraterritoriality in Civil Rights Legislation after ARAMCO and the Civil Rights Act of 1991</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73.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NOTE: THE EXTRATERRITORIAL APPLICATION OF TITLE VII: DOES THE FOREIGN COMPULSION DEFENSE WORK?</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74.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1.05 Taxation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75.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PLACER MINING CLAIMS-SELECTED PROBLEMS AND SUGGESTED SOLUTIONS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76.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8.05 Key Ratemaking Standards Pertinent to Transportation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77.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A Legal History of Binding Gratuitous Promises at Common Law: Justifiable Reliance and Moral Obligation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78.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12.1</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79.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12-6 Rocky Mt. Min. L. Fdn. 2019</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80.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2014-4 RMMLF PROC 15</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81.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2015-4 RMMLF PROC 6</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82.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Federal Railroad Power Versus Local Land-Use Regulation: Can Localities Stop Crude-by-Rail in Its Tracks?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The "New Learning" and the Euthanasia of Antitrust.</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84.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BASIS OF THE IMPLIED COVENANTS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85.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MINERAL TERMS-SOME PROBLEMS IN THEIR USE AND DEFINITION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86.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MOVING THE MOLECULES TO MARKET: AN INTRODUCTION TO HYDROCARBON PROCESSING AND TRANSPORTATION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87.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RETHINKING THE IMPACT OF SALES TAXES ON GOVERNMENT PROCUREMENT PRACTICES: UNINTENDED CONSEQUENCES OR GOOD POLICY?</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88.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TRANSPORTATION ON INTERSTATE PIPELINES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89.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ENVIRONMENTAL PROTECTION AGENCY: AIR</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90.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58 Rocky Mt. Min. L. Inst. Chapter-27 2012</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91.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2004 NINTH CIRCUIT ENVIRONMENTAL REVIEW: CASE SUMMARIES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92.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ARTICLE:Defending SEC and DOJ FCPA Investigations and Conducting Related Corporate Internal Investigations: The Triton Energy/Indonesia SEC Consent Decree Settlements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93.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Defensive Responses to Tender Offers and the Williams Act's Prohibition Against Manipulation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94.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ARTICLE:Corporate Social Responsibility In a Global Economy After September 11: Profits, Freedom, and Human Rights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95.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Financial Aspects of Oil Transactions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96.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FEDERAL OIL VALUATION: WHERE ARE WE NOW?</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97.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UNREPORTED CASE: ROSENBLATT v. GETTY OIL CO., No. 5278.</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98.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 Nexus Runs Through It: Wetlands, Hydrological Connections, and Federal Jurisdiction in the Post-SWANCC World</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99.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Dust in the Wind: n1Regulation as an Essential Component of a Sustainable and Robust Wind Program</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100.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Origins of Promissory Estoppel: Justifiable Reliance and Commercial Uncertainty Before Williston's Restatement</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sectPr>
      <w:footerReference w:type="default" r:id="rId5"/>
      <w:type w:val="continuous"/>
      <w:pgMar w:top="840" w:right="1080" w:bottom="840" w:left="1080" w:header="0" w:footer="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40" w:type="dxa"/>
      <w:jc w:val="center"/>
      <w:shd w:val="solid" w:color="000000" w:fill="000000"/>
      <w:tblLayout w:type="fixed"/>
      <w:tblCellMar>
        <w:left w:w="108" w:type="dxa"/>
        <w:right w:w="108" w:type="dxa"/>
      </w:tblCellMar>
    </w:tblPr>
    <w:tblGrid>
      <w:gridCol w:w="10240"/>
    </w:tblGrid>
    <w:tr>
      <w:tblPrEx>
        <w:tblW w:w="10240" w:type="dxa"/>
        <w:jc w:val="center"/>
        <w:shd w:val="solid" w:color="000000" w:fill="000000"/>
        <w:tblLayout w:type="fixed"/>
        <w:tblCellMar>
          <w:left w:w="108" w:type="dxa"/>
          <w:right w:w="108" w:type="dxa"/>
        </w:tblCellMar>
      </w:tblPrEx>
      <w:trPr>
        <w:trHeight w:val="15"/>
        <w:jc w:val="center"/>
      </w:trPr>
      <w:tc>
        <w:tcPr>
          <w:tcW w:w="10240" w:type="dxa"/>
          <w:shd w:val="solid" w:color="000000" w:fill="000000"/>
        </w:tcPr>
        <w:p>
          <w:pPr>
            <w:keepNext w:val="0"/>
            <w:spacing w:after="0" w:line="40" w:lineRule="exact"/>
            <w:ind w:left="0" w:right="0" w:firstLine="0"/>
            <w:jc w:val="both"/>
          </w:pPr>
        </w:p>
      </w:tc>
    </w:tr>
  </w:tbl>
  <w:p>
    <w:pPr>
      <w:keepNext w:val="0"/>
      <w:spacing w:after="0" w:line="40" w:lineRule="exact"/>
      <w:ind w:left="0" w:right="0" w:firstLine="0"/>
      <w:jc w:val="both"/>
    </w:pPr>
  </w:p>
  <w:tbl>
    <w:tblPr>
      <w:tblW w:w="10240" w:type="dxa"/>
      <w:jc w:val="center"/>
      <w:tblLayout w:type="fixed"/>
      <w:tblCellMar>
        <w:left w:w="108" w:type="dxa"/>
        <w:right w:w="108" w:type="dxa"/>
      </w:tblCellMar>
    </w:tblPr>
    <w:tblGrid>
      <w:gridCol w:w="10240"/>
    </w:tblGrid>
    <w:tr>
      <w:tblPrEx>
        <w:tblW w:w="10240" w:type="dxa"/>
        <w:jc w:val="center"/>
        <w:tblLayout w:type="fixed"/>
        <w:tblCellMar>
          <w:left w:w="108" w:type="dxa"/>
          <w:right w:w="108" w:type="dxa"/>
        </w:tblCellMar>
      </w:tblPrEx>
      <w:trPr>
        <w:trHeight w:val="480"/>
        <w:jc w:val="center"/>
      </w:trPr>
      <w:tc>
        <w:tcPr>
          <w:tcW w:w="10240" w:type="dxa"/>
          <w:vAlign w:val="center"/>
        </w:tcPr>
        <w:p>
          <w:pPr>
            <w:keepNext w:val="0"/>
            <w:spacing w:after="0" w:line="260" w:lineRule="atLeast"/>
            <w:ind w:left="0" w:right="0"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68.25pt;height:15.75pt">
                <v:imagedata r:id="rId1" o:title=""/>
              </v:shape>
            </w:pict>
          </w:r>
          <w:r>
            <w:rPr>
              <w:rFonts w:ascii="Arial" w:eastAsia="Arial" w:hAnsi="Arial" w:cs="Arial"/>
              <w:b w:val="0"/>
              <w:i w:val="0"/>
              <w:strike w:val="0"/>
              <w:noProof w:val="0"/>
              <w:color w:val="000000"/>
              <w:position w:val="10"/>
              <w:sz w:val="18"/>
              <w:u w:val="none"/>
              <w:vertAlign w:val="baseline"/>
            </w:rPr>
            <w:t xml:space="preserve">| </w:t>
          </w:r>
          <w:hyperlink r:id="rId2" w:history="1">
            <w:r>
              <w:rPr>
                <w:rFonts w:ascii="Arial" w:eastAsia="Arial" w:hAnsi="Arial" w:cs="Arial"/>
                <w:b w:val="0"/>
                <w:i w:val="0"/>
                <w:strike w:val="0"/>
                <w:noProof w:val="0"/>
                <w:color w:val="0077CC"/>
                <w:position w:val="10"/>
                <w:sz w:val="18"/>
                <w:u w:val="single"/>
                <w:shd w:val="clear" w:color="auto" w:fill="auto"/>
                <w:vertAlign w:val="baseline"/>
              </w:rPr>
              <w:t>About LexisNexis</w:t>
            </w:r>
          </w:hyperlink>
          <w:r>
            <w:rPr>
              <w:rFonts w:ascii="Arial" w:eastAsia="Arial" w:hAnsi="Arial" w:cs="Arial"/>
              <w:b w:val="0"/>
              <w:i w:val="0"/>
              <w:strike w:val="0"/>
              <w:noProof w:val="0"/>
              <w:color w:val="000000"/>
              <w:position w:val="10"/>
              <w:sz w:val="18"/>
              <w:u w:val="none"/>
              <w:vertAlign w:val="baseline"/>
            </w:rPr>
            <w:t xml:space="preserve"> | </w:t>
          </w:r>
          <w:hyperlink r:id="rId3" w:history="1">
            <w:r>
              <w:rPr>
                <w:rFonts w:ascii="Arial" w:eastAsia="Arial" w:hAnsi="Arial" w:cs="Arial"/>
                <w:b w:val="0"/>
                <w:i w:val="0"/>
                <w:strike w:val="0"/>
                <w:noProof w:val="0"/>
                <w:color w:val="0077CC"/>
                <w:position w:val="10"/>
                <w:sz w:val="18"/>
                <w:u w:val="single"/>
                <w:shd w:val="clear" w:color="auto" w:fill="auto"/>
                <w:vertAlign w:val="baseline"/>
              </w:rPr>
              <w:t>Privacy Policy</w:t>
            </w:r>
          </w:hyperlink>
          <w:r>
            <w:rPr>
              <w:rFonts w:ascii="Arial" w:eastAsia="Arial" w:hAnsi="Arial" w:cs="Arial"/>
              <w:b w:val="0"/>
              <w:i w:val="0"/>
              <w:strike w:val="0"/>
              <w:noProof w:val="0"/>
              <w:color w:val="000000"/>
              <w:position w:val="10"/>
              <w:sz w:val="18"/>
              <w:u w:val="none"/>
              <w:vertAlign w:val="baseline"/>
            </w:rPr>
            <w:t xml:space="preserve"> | </w:t>
          </w:r>
          <w:hyperlink r:id="rId4" w:history="1">
            <w:r>
              <w:rPr>
                <w:rFonts w:ascii="Arial" w:eastAsia="Arial" w:hAnsi="Arial" w:cs="Arial"/>
                <w:b w:val="0"/>
                <w:i w:val="0"/>
                <w:strike w:val="0"/>
                <w:noProof w:val="0"/>
                <w:color w:val="0077CC"/>
                <w:position w:val="10"/>
                <w:sz w:val="18"/>
                <w:u w:val="single"/>
                <w:shd w:val="clear" w:color="auto" w:fill="auto"/>
                <w:vertAlign w:val="baseline"/>
              </w:rPr>
              <w:t>Terms &amp; Conditions</w:t>
            </w:r>
          </w:hyperlink>
          <w:r>
            <w:rPr>
              <w:rFonts w:ascii="Arial" w:eastAsia="Arial" w:hAnsi="Arial" w:cs="Arial"/>
              <w:b w:val="0"/>
              <w:i w:val="0"/>
              <w:strike w:val="0"/>
              <w:noProof w:val="0"/>
              <w:color w:val="000000"/>
              <w:position w:val="10"/>
              <w:sz w:val="18"/>
              <w:u w:val="none"/>
              <w:vertAlign w:val="baseline"/>
            </w:rPr>
            <w:t xml:space="preserve"> | </w:t>
          </w:r>
          <w:hyperlink r:id="rId5" w:history="1">
            <w:r>
              <w:rPr>
                <w:rFonts w:ascii="Arial" w:eastAsia="Arial" w:hAnsi="Arial" w:cs="Arial"/>
                <w:b w:val="0"/>
                <w:i w:val="0"/>
                <w:strike w:val="0"/>
                <w:noProof w:val="0"/>
                <w:color w:val="0077CC"/>
                <w:position w:val="10"/>
                <w:sz w:val="18"/>
                <w:u w:val="single"/>
                <w:shd w:val="clear" w:color="auto" w:fill="auto"/>
                <w:vertAlign w:val="baseline"/>
              </w:rPr>
              <w:t>Copyright © 2024 LexisNexis</w:t>
            </w:r>
          </w:hyperlink>
        </w:p>
      </w:tc>
    </w:tr>
    <w:tr>
      <w:tblPrEx>
        <w:tblW w:w="10240" w:type="dxa"/>
        <w:jc w:val="center"/>
        <w:tblLayout w:type="fixed"/>
        <w:tblCellMar>
          <w:left w:w="108" w:type="dxa"/>
          <w:right w:w="108" w:type="dxa"/>
        </w:tblCellMar>
      </w:tblPrEx>
      <w:trPr>
        <w:trHeight w:val="620"/>
        <w:jc w:val="center"/>
      </w:trPr>
      <w:tc>
        <w:tcPr>
          <w:tcW w:w="10240" w:type="dxa"/>
          <w:vAlign w:val="top"/>
        </w:tcPr>
        <w:p/>
      </w:tc>
    </w:tr>
  </w:tbl>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footer1.xml.rels><?xml version="1.0" encoding="utf-8" standalone="yes"?><Relationships xmlns="http://schemas.openxmlformats.org/package/2006/relationships"><Relationship Id="rId1" Type="http://schemas.openxmlformats.org/officeDocument/2006/relationships/image" Target="media/image2.jpeg" /><Relationship Id="rId2" Type="http://schemas.openxmlformats.org/officeDocument/2006/relationships/hyperlink" Target="http://www.lexisnexis.com/about-us/" TargetMode="External" /><Relationship Id="rId3" Type="http://schemas.openxmlformats.org/officeDocument/2006/relationships/hyperlink" Target="http://www.lexisnexis.com/en-us/terms/privacy-policy.page" TargetMode="External" /><Relationship Id="rId4" Type="http://schemas.openxmlformats.org/officeDocument/2006/relationships/hyperlink" Target="http://www.lexisnexis.com/terms/general.aspx" TargetMode="External" /><Relationship Id="rId5" Type="http://schemas.openxmlformats.org/officeDocument/2006/relationships/hyperlink" Target="http://www.lexisnexis.com/terms/copyrigh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LexisNexis® Delivery Cover Page</dc:title>
  <cp:revision>1</cp:revision>
</cp:coreProperties>
</file>