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Berry Bolts On More California Assets as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M &amp; A Continues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Hart Energy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3:44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Hart Energy Publishing LLP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Mathews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As Berry Corp. continues its aggressive hunt for growth opportunities outside of California, the E &amp; P made a second bolt-on acquisition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the fourth quarter.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 Corp. bolted on “highly synergistic” working interest in its core California operating area at year-end 2023, the E &amp; P disclosed in its fourth-quarter 2023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Dallas-based company tapped its reserve-based loan (RBL) facility for about $30 million to finance its latest acquisition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Berry reported March 6. The company aims to pay down the new RBL borrowings during the first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&amp; A was a key theme last year for Berry, which has assets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in the Uinta Basin in Utah. Berry replaced 176% of its California production with additional proved reserves from acquisitions and field extensions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Berry closed on a $70 million takeover of Macpherson Energy Corp., a privately held E &amp; P with assets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Fourth-quarter production in California increased 5% to 21,500 boe/d from the prior quarter, with the increase largely tied to the Macpherson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Company-wide production averaged 25,900 boe/d in the fourth quarter;  full-year production averaged 25,400 boe/d.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anticipates production to average between 24,600 boe/d and 25,800 boe/d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RELATED: </w:t>
      </w:r>
      <w:r>
        <w:rPr>
          <w:rFonts w:ascii="arial" w:eastAsia="arial" w:hAnsi="arial" w:cs="arial"/>
          <w:b w:val="0"/>
          <w:i w:val="0"/>
          <w:strike w:val="0"/>
          <w:noProof w:val="0"/>
          <w:color w:val="000000"/>
          <w:position w:val="0"/>
          <w:sz w:val="20"/>
          <w:u w:val="none"/>
          <w:vertAlign w:val="baseline"/>
        </w:rPr>
        <w:t xml:space="preserve">California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Approvals Have Nearly Ground to a Halt, Data Show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Drill chill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80% of Berry’s total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comes from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But after a ruling by a California’s intermediate courts of appeal, permitting activity for new drilling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been effectively halted since late January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Berry’s 2024 capital program was developed under the assumption that the company will not receive additional new drill permits in California this year. Berry holds approved drilling permits and expects to receive other approvals for planned activities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Berry managed to extend its production runway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by scooping up Macpherson last year. But the current constraints on Berry’s plans in California are causing the E &amp; P to search outside of the Golden State for growth opportunities, CEO Fernando Araujo reiterated in the company’s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seek scale and growth through bolt-ons or other opportunities in and outside of California, all while being mindful of optimizing our capital structure,” Araujo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RELATED: </w:t>
      </w:r>
      <w:r>
        <w:rPr>
          <w:rFonts w:ascii="arial" w:eastAsia="arial" w:hAnsi="arial" w:cs="arial"/>
          <w:b w:val="0"/>
          <w:i w:val="0"/>
          <w:strike w:val="0"/>
          <w:noProof w:val="0"/>
          <w:color w:val="000000"/>
          <w:position w:val="0"/>
          <w:sz w:val="20"/>
          <w:u w:val="none"/>
          <w:vertAlign w:val="baseline"/>
        </w:rPr>
        <w:t>Searching for Scale, Berry Corp. ‘Aggressively’ Hunting More M &amp; 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Consolidating </w:t>
      </w:r>
      <w:r>
        <w:rPr>
          <w:rFonts w:ascii="arial" w:eastAsia="arial" w:hAnsi="arial" w:cs="arial"/>
          <w:b/>
          <w:i/>
          <w:strike w:val="0"/>
          <w:noProof w:val="0"/>
          <w:color w:val="000000"/>
          <w:position w:val="0"/>
          <w:sz w:val="20"/>
          <w:u w:val="single"/>
          <w:vertAlign w:val="baseline"/>
        </w:rPr>
        <w:t>Kern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Berry and Macpherson aren’t the only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operators merging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February, California Resources Corp. agreed to acquire Aera Energy, a joint venture created by Shell Plc and Exxon Mobil Corp., in a $2.1 billion all-stock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Resources said the transaction adds large, conventional, low decline,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weighted, proved developed producing reserves and sustainable cash flow. In third-quarter 2023, Aera averaged 76,000 boe/d, 95%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company had estimated proved reserves of approximately 262 MMboe at year-end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moratorium on new drilling activity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also affecting California Resources and Aera, which both have sizable footprints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Resources own pro forma development plan assumes “a successful resolution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Environmental Impact Report litigation” and “resumption of a normalized level of permit approvals” in the second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litigation be resolved and permitting activity be resumed, the company plans to operate between four and five rigs after closing the Aera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RELATED: </w:t>
      </w:r>
      <w:r>
        <w:rPr>
          <w:rFonts w:ascii="arial" w:eastAsia="arial" w:hAnsi="arial" w:cs="arial"/>
          <w:b w:val="0"/>
          <w:i w:val="0"/>
          <w:strike w:val="0"/>
          <w:noProof w:val="0"/>
          <w:color w:val="000000"/>
          <w:position w:val="0"/>
          <w:sz w:val="20"/>
          <w:u w:val="none"/>
          <w:vertAlign w:val="baseline"/>
        </w:rPr>
        <w:t>California Resources Corp., Aera Energy to Combine in $2.1B Merger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Berry Bolts On More California Assets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 &amp; A Continues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Berry Bolts On More California Assets as Kern County M &amp; A Continues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 Bolts On More California Assets as Kern County M &amp; A Continues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GV-WF01-F108-K3T6-00000-00">
    <vt:lpwstr>Doc::/shared/document|contextualFeaturePermID::1516831</vt:lpwstr>
  </property>
  <property fmtid="{D5CDD505-2E9C-101B-9397-08002B2CF9AE}" pid="5" name="UserPermID">
    <vt:lpwstr>urn:user:PA184731150</vt:lpwstr>
  </property>
</Properties>
</file>