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Investors 'will be central to avoiding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Professional Adviser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2022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Incisive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98pt;height:3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val="0"/>
            <w:i/>
            <w:strike w:val="0"/>
            <w:noProof w:val="0"/>
            <w:color w:val="0077CC"/>
            <w:position w:val="0"/>
            <w:sz w:val="20"/>
            <w:u w:val="single"/>
            <w:shd w:val="clear" w:color="auto" w:fill="FFFFFF"/>
            <w:vertAlign w:val="baseline"/>
          </w:rPr>
          <w:t>email@professionalpensions.com</w:t>
        </w:r>
      </w:hyperlink>
      <w:r>
        <w:rPr>
          <w:rFonts w:ascii="arial" w:eastAsia="arial" w:hAnsi="arial" w:cs="arial"/>
          <w:b w:val="0"/>
          <w:i w:val="0"/>
          <w:strike w:val="0"/>
          <w:noProof w:val="0"/>
          <w:color w:val="000000"/>
          <w:position w:val="0"/>
          <w:sz w:val="20"/>
          <w:u w:val="none"/>
          <w:vertAlign w:val="baseline"/>
        </w:rPr>
        <w:t>, (Professional Pensions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asset manager's report looks at the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what types of investments could potentially encourage positive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global GDP is highly dependent on nature, with construction, agricultures and food &amp; beverages being the three largest sectors that are highly dependent on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sectors generate almost $8trn (£6.8trn) of gross value added, with $4trn (£3.4trn) for construction, $2.5trn (£2.1trn) for agriculture, and $1.4trn (£1.1trn) for food and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report, "our planet's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 the variety of species of animals and plants - is collapsing", and it is "falling at the speed from tens to hundreds of times higher than it did, on average, over the past ten million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flora and fauna are the engines of every ecosystem providing our civilisation with clean water, the air rich in oxygen and nutritious food. We now take from our planet 56% more than it can regenerate but a lot of these resources are wasted to overconsumption," the report added.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one of the top three risks in terms of likelihood and impact in the next ten years, according to the World Economic Forum's 2022 </w:t>
      </w:r>
      <w:r>
        <w:rPr>
          <w:rFonts w:ascii="arial" w:eastAsia="arial" w:hAnsi="arial" w:cs="arial"/>
          <w:b w:val="0"/>
          <w:i/>
          <w:strike w:val="0"/>
          <w:noProof w:val="0"/>
          <w:color w:val="000000"/>
          <w:position w:val="0"/>
          <w:sz w:val="20"/>
          <w:u w:val="none"/>
          <w:vertAlign w:val="baseline"/>
        </w:rPr>
        <w:t>Global Risks Report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Developing the optimal framework for embedding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considerations will be key, said Candriam, adding there is already some awareness among institutional and large long-term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companies and investors take account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risks, less than 1% of business models of the 3,500 companies representing 85% of global market capitalisation align with SDGs 14 and 15, according to the Organisation for Economic Co-operation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Candriam's report said: "To have real impact we need a focused approach, which can be used consistently across sectors and geographies, by companies and investors alike. The lack of a relevant and easily measurable metric/indicator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(like carbon emissions for climate change) is definitely the key difficulty in accounting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fully in business and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as the UN's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is set to replicate the Paris Agreement on climate change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the first time, it will include onboarding a variety of stakeholders in the private sector and the financial industry, with the new agreement expected to define the role of financial institutions in delivering its key objective: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will be central to this, as human civilisation, for its own sake, returns some of what it has taken from the blue planet," said Candriam.</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LIFE FORMS (90%); CLIMATE CHANGE (89%); GROSS DOMESTIC PRODUCT (89%); AGREEMENTS (78%); ANIMALS (78%); COMPANY ACTIVITIES &amp; MANAGEMENT (78%); ECONOMY &amp; ECONOMIC INDICATORS (78%); SUSTAINABLE DEVELOPMENT GOALS (78%); MARKET CAPITALIZATION (71%); ECONOMIC DEVELOPMENT (70%); INSECTS &amp; ARACHNIDS (70%); INTERNATIONAL ECONOMIC ORGANIZATIONS (70%); WATER RESOURCES (67%); CLIMATE CHANGE REGULATION &amp; POLICY (65%); EMISSIONS (60%); GREENHOUSE GASES (60%); UNITED NATIONS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(78%); SUSTAINABLE DEVELOPMENT GOALS (78%); EMISSIONS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13,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Investors 'will be central to avoiding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CJ-3Y61-JD7R-N0M0-00000-00&amp;context=1516831" TargetMode="External" /><Relationship Id="rId8" Type="http://schemas.openxmlformats.org/officeDocument/2006/relationships/image" Target="media/image1.png" /><Relationship Id="rId9" Type="http://schemas.openxmlformats.org/officeDocument/2006/relationships/hyperlink" Target="mailto:email@professionalpensio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Investors 'will be central to avoiding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CJ-3Y61-JD7R-N0M0-00000-00">
    <vt:lpwstr>Doc::/shared/document|contextualFeaturePermID::1516831</vt:lpwstr>
  </property>
  <property fmtid="{D5CDD505-2E9C-101B-9397-08002B2CF9AE}" pid="5" name="UserPermID">
    <vt:lpwstr>urn:user:PA184731166</vt:lpwstr>
  </property>
</Properties>
</file>