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 xml:space="preserve">Robeco pledges to tackle </w:t>
        </w:r>
      </w:hyperlink>
      <w:hyperlink r:id="rId7" w:history="1">
        <w:r>
          <w:rPr>
            <w:rFonts w:ascii="arial" w:eastAsia="arial" w:hAnsi="arial" w:cs="arial"/>
            <w:b/>
            <w:i/>
            <w:strike w:val="0"/>
            <w:color w:val="0077CC"/>
            <w:sz w:val="28"/>
            <w:u w:val="single"/>
            <w:shd w:val="clear" w:color="auto" w:fill="FFFFFF"/>
            <w:vertAlign w:val="baseline"/>
          </w:rPr>
          <w:t>biodiversity</w:t>
        </w:r>
      </w:hyperlink>
      <w:hyperlink r:id="rId7" w:history="1">
        <w:r>
          <w:rPr>
            <w:rFonts w:ascii="arial" w:eastAsia="arial" w:hAnsi="arial" w:cs="arial"/>
            <w:b/>
            <w:i/>
            <w:strike w:val="0"/>
            <w:color w:val="0077CC"/>
            <w:sz w:val="28"/>
            <w:u w:val="single"/>
            <w:shd w:val="clear" w:color="auto" w:fill="FFFFFF"/>
            <w:vertAlign w:val="baseline"/>
          </w:rPr>
          <w:t xml:space="preserve"> </w:t>
        </w:r>
      </w:hyperlink>
      <w:hyperlink r:id="rId7" w:history="1">
        <w:r>
          <w:rPr>
            <w:rFonts w:ascii="arial" w:eastAsia="arial" w:hAnsi="arial" w:cs="arial"/>
            <w:b/>
            <w:i/>
            <w:strike w:val="0"/>
            <w:color w:val="0077CC"/>
            <w:sz w:val="28"/>
            <w:u w:val="single"/>
            <w:shd w:val="clear" w:color="auto" w:fill="FFFFFF"/>
            <w:vertAlign w:val="baseline"/>
          </w:rPr>
          <w:t>loss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Global Investor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2022</w:t>
      </w:r>
    </w:p>
    <w:p>
      <w:pPr>
        <w:keepNext w:val="0"/>
        <w:spacing w:after="0" w:line="240" w:lineRule="atLeast"/>
        <w:ind w:right="0"/>
        <w:jc w:val="both"/>
      </w:pPr>
      <w:bookmarkStart w:id="0" w:name="Bookmark_1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2022 Euromoney Institutional Investor PLC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Perle Battistella</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Robeco has launched a position paper that seeks to address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to develop a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investment framework.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environmental, social and governance (ESG) market leader said that it was partnering with the World Wide Fund for Nature Netherlands (WWF-NL) to integrate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across the business, as well as to co-develop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investment strategies.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Peter van der Werf, senior manager engagement at Robeco, commented: "The financial sector and the asset management industry in which we sit has a crucial role to play in helping to prevent further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not something that is simply 'nice to have' in the context of sustainable investing: it is in the long-term interest of our clients and our investment performance, along with our duty to do our best to use our leverage to protect the planet."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position paper builds on the asset manager's ESG themes for 2022 that it unveiled at the start of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Robeco said on Monday that it would also engage with clients and other stakeholders in the financial sector to build awareness of the issues and to encourage others to also integrate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into their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asset manager added that the rate of deforestation due to human activity is one of the biggest ESG-related challenges and thus, investors can play a crucial role through engagement and the integration of nature-related risks and opportunities into decision-making processes.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"It's no longer just a question of avoiding those companies that are responsible for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through their environmentally damaging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must also embrace those companies that are striving to protect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directing more capital towards these sort of sustainable enterprises," added van der Werf.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Rotterdam-based Robeco's white paper outlined the urgency of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and unveiled how 29% of the asset manager's investments are in sectors that have potentially high impacts on key drivers of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Subsequently, the asset manager said that greater collaboration is needed and that it has become one of the first signatories of the Task Force for Nature-related 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seeks to build a framework to allow financial institutions to incorporate nature-related risks and opportunities into strategic planning, risk management and asset allocation decisions.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Robeco also signed the Finance for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Pledge in 2020 which seeks to protect and restore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through finance activities and investments by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Aviva Investors' chief executive officer Mark Versey has said the group's asset management arm would judge investee companies against expectations on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and human rights as much as on climate and executive pay.</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Magazine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Journal Code:</w:t>
      </w:r>
      <w:r>
        <w:rPr>
          <w:rFonts w:ascii="arial" w:eastAsia="arial" w:hAnsi="arial" w:cs="arial"/>
          <w:b w:val="0"/>
          <w:i w:val="0"/>
          <w:strike w:val="0"/>
          <w:noProof w:val="0"/>
          <w:color w:val="000000"/>
          <w:position w:val="0"/>
          <w:sz w:val="20"/>
          <w:u w:val="none"/>
          <w:vertAlign w:val="baseline"/>
        </w:rPr>
        <w:t> GI</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(95%); BANKING &amp; FINANCE SECTOR PERFORMANCE (90%); ENVIRONMENTAL &amp; WILDLIFE ORGANIZATIONS (90%); ESG FACTORS (90%); MANAGERS &amp; SUPERVISORS (90%); SOCIETY, SOCIAL ASSISTANCE &amp; LIFESTYLE (90%); SUSTAINABLE INVESTING (90%); FOREIGN INVESTMENT (79%); COMPANY STRATEGY (78%); CORPORATE SUSTAINABILITY (78%); GREEN FINANCE (78%); PENSION FUNDS (78%); RISK MANAGEMENT (78%); EXECUTIVES (77%); EXECUTIVE COMPENSATION (75%); STRATEGIC PLANNING (75%); DEFORESTATION (73%); POLLUTION &amp; ENVIRONMENTAL IMPACTS (73%); WAGES &amp; SALARIES (50%)</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Company:</w:t>
      </w:r>
      <w:r>
        <w:rPr>
          <w:rFonts w:ascii="arial" w:eastAsia="arial" w:hAnsi="arial" w:cs="arial"/>
          <w:b w:val="0"/>
          <w:i w:val="0"/>
          <w:strike w:val="0"/>
          <w:noProof w:val="0"/>
          <w:color w:val="000000"/>
          <w:position w:val="0"/>
          <w:sz w:val="20"/>
          <w:u w:val="none"/>
          <w:vertAlign w:val="baseline"/>
        </w:rPr>
        <w:t>  ROBECO GROEP NV (92%)</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Organization:</w:t>
      </w:r>
      <w:r>
        <w:rPr>
          <w:rFonts w:ascii="arial" w:eastAsia="arial" w:hAnsi="arial" w:cs="arial"/>
          <w:b w:val="0"/>
          <w:i w:val="0"/>
          <w:strike w:val="0"/>
          <w:noProof w:val="0"/>
          <w:color w:val="000000"/>
          <w:position w:val="0"/>
          <w:sz w:val="20"/>
          <w:u w:val="none"/>
          <w:vertAlign w:val="baseline"/>
        </w:rPr>
        <w:t> WORLD WILDLIFE FUND (90%); WORLD WIDE FUND FOR NATURE (84%)</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Ticker:</w:t>
      </w:r>
      <w:r>
        <w:rPr>
          <w:rFonts w:ascii="arial" w:eastAsia="arial" w:hAnsi="arial" w:cs="arial"/>
          <w:b w:val="0"/>
          <w:i w:val="0"/>
          <w:strike w:val="0"/>
          <w:noProof w:val="0"/>
          <w:color w:val="000000"/>
          <w:position w:val="0"/>
          <w:sz w:val="20"/>
          <w:u w:val="none"/>
          <w:vertAlign w:val="baseline"/>
        </w:rPr>
        <w:t> ROBP (PAR) (92%)</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NAICS525910 OPEN-END INVESTMENT FUNDS (92%); NAICS523999 MISCELLANEOUS FINANCIAL INVESTMENT ACTIVITIES (92%); SIC6722 MANAGEMENT INVESTMENT OFFICES, OPEN-END (92%); BANKING &amp; FINANCE SECTOR PERFORMANCE (90%); SUSTAINABLE INVESTING (90%); BANKING &amp; FINANCE (89%); BANKING &amp; FINANCE REGULATION &amp; POLICY (89%); GREEN FINANCE (78%); PENSION FUNDS (78%); RISK MANAGEMENT (78%); DEFORESTATION (73%)</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ROTTERDAM, NETHERLANDS (58%); NETHERLANDS (73%)</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21, 2022</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Robeco pledges to tackle biodiversity loss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4V1-K6X1-F0GS-H52M-00000-00&amp;context=1516831" TargetMode="Externa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Robeco pledges to tackle biodiversity loss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222968934</vt:lpwstr>
  </property>
  <property fmtid="{D5CDD505-2E9C-101B-9397-08002B2CF9AE}" pid="3" name="LADocCount">
    <vt:lpwstr>1</vt:lpwstr>
  </property>
  <property fmtid="{D5CDD505-2E9C-101B-9397-08002B2CF9AE}" pid="4" name="LADocumentID:urn:contentItem:64V1-K6X1-F0GS-H52M-00000-00">
    <vt:lpwstr>Doc::/shared/document|contextualFeaturePermID::1516831</vt:lpwstr>
  </property>
  <property fmtid="{D5CDD505-2E9C-101B-9397-08002B2CF9AE}" pid="5" name="UserPermID">
    <vt:lpwstr>urn:user:PA184731166</vt:lpwstr>
  </property>
</Properties>
</file>