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Schneider Electric's Actions to Reverse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3BL Blogs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23, 2020 Friday 4:20 PM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schneiderelectric</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Oct 23, 2020( 3BL Blogs: </w:t>
      </w:r>
      <w:hyperlink r:id="rId8" w:history="1">
        <w:r>
          <w:rPr>
            <w:rFonts w:ascii="arial" w:eastAsia="arial" w:hAnsi="arial" w:cs="arial"/>
            <w:b w:val="0"/>
            <w:i/>
            <w:strike w:val="0"/>
            <w:noProof w:val="0"/>
            <w:color w:val="0077CC"/>
            <w:position w:val="0"/>
            <w:sz w:val="20"/>
            <w:u w:val="single"/>
            <w:shd w:val="clear" w:color="auto" w:fill="FFFFFF"/>
            <w:vertAlign w:val="baseline"/>
          </w:rPr>
          <w:t>http://3blmedia.com</w:t>
        </w:r>
      </w:hyperlink>
      <w:r>
        <w:rPr>
          <w:rFonts w:ascii="arial" w:eastAsia="arial" w:hAnsi="arial" w:cs="arial"/>
          <w:b w:val="0"/>
          <w:i w:val="0"/>
          <w:strike w:val="0"/>
          <w:noProof w:val="0"/>
          <w:color w:val="000000"/>
          <w:position w:val="0"/>
          <w:sz w:val="20"/>
          <w:u w:val="none"/>
          <w:vertAlign w:val="baseline"/>
        </w:rPr>
        <w:t xml:space="preserve">/ Delivered by Newstex)  The fight for sustainability continues as governments, companies, international organizations and NGOs join forces to prioritize sustainable action. But threats still remain and cannot be overlooked - such as the fight against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Without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there is no life and no business, as we heavily rely on natural resources and ecosystems.Time for Nature According to the IPBES[1][1] global assessment report, any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unsustainable, and transformative changes are required to safeguard economic and social models.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undermines nature's ability to support people and communities, a factor which strongly improves both quality of life and business prosperity. Society has been too slow to fully grasp the impact of human activities on nature. But as we become more aware, we must maintain the momentum and act: it is time to start working together to prevent continued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Taking a science-based approach Companies need to up their game and play a vital role in protecting and promoting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global ambition will be defined at the COP15 (Conference on Biological Diversity) where a global objective of 'No Net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expected to be set. 'No Net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the equivalent of carbon neutrality for climate, where any negative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(due to economic activities) is balanced out by positive impact, such as biological restoration. To reach these ambitious targets, the business world needs to use metrics that are quantitative, concise, easy to understand, widely applicable and that can be aggregated or dis-aggregated at multiple levels. Among the different metrics available, the MSA.km (Mean Species Abundance per km2) has the potential to become the standard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metrics in the same way that CO2-eq is for climate. Such metrics, although still imperfect, allow companies to define and set their science-based objectives, and are essential to fast-track the implementation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strategies and concrete action plans. The first end-to-end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assessment Sustainability is a pillar of Schneider Electric's strategy, which is why all our commitments are based on measurable and scientific hypotheses. So, whenCDC Biodiversit[2]developed their footprint assessment tool,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Score', we worked with them to conduct our first end-to-endfootprint assessment[3]. The results of this study helped us understand which of our activities, and those of our supplier and customer ecosystem, have direct and indirect impacts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GBS also help differentiate between positive impacts, such as reducing land use, secondary raw materials use and CO2emissions with our technology, and negative impacts for instance from our operations, logistics, raw materials extraction and use, etc. More than two thirds of our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due to greenhouse gas emissions. Which is why, through the lens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our climate change strategy has new relevance. The effect of climate change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further inspires us to pursue our ambitious net zero emissions goals, both across our own operations and throughout our supply chain. We also strive to accelerate the adoption of our decarbonization technologies and improve on our 2019 performance, when our customers saved 45 million tons of CO2 through modernization projects. The onus is on us More onus needs to be on businesses and rightly so. Today, our environmental strategy allows us to mitigate our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nevertheless, I know that we can do better and there is still potential to do much more. For instance, improvements can be made through sustainable purchasing; increased supply chain traceability would allow us to choose exactly what we buy, from whom and from where.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an inherently local issue and the impact of raw material extraction can vary greatly, even within the same region. Businesses and corporations, such as ours, have a responsibility to play a major role with other stakeholders from civil society to policy makers. Let's raise the bar on our corporate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goals and aim for 'No Net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Read in more detail: [1]Intergovernmental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(November 2019) [ 1]: </w:t>
      </w:r>
      <w:hyperlink r:id="rId9" w:history="1">
        <w:r>
          <w:rPr>
            <w:rFonts w:ascii="arial" w:eastAsia="arial" w:hAnsi="arial" w:cs="arial"/>
            <w:b w:val="0"/>
            <w:i/>
            <w:strike w:val="0"/>
            <w:noProof w:val="0"/>
            <w:color w:val="0077CC"/>
            <w:position w:val="0"/>
            <w:sz w:val="20"/>
            <w:u w:val="single"/>
            <w:shd w:val="clear" w:color="auto" w:fill="FFFFFF"/>
            <w:vertAlign w:val="baseline"/>
          </w:rPr>
          <w:t>https://blog.se.com/sustainability/2020/10/08/our-actions-to-reverse-</w:t>
        </w:r>
      </w:hyperlink>
      <w:hyperlink r:id="rId9"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9" w:history="1">
        <w:r>
          <w:rPr>
            <w:rFonts w:ascii="arial" w:eastAsia="arial" w:hAnsi="arial" w:cs="arial"/>
            <w:b w:val="0"/>
            <w:i/>
            <w:strike w:val="0"/>
            <w:noProof w:val="0"/>
            <w:color w:val="0077CC"/>
            <w:position w:val="0"/>
            <w:sz w:val="20"/>
            <w:u w:val="single"/>
            <w:shd w:val="clear" w:color="auto" w:fill="FFFFFF"/>
            <w:vertAlign w:val="baseline"/>
          </w:rPr>
          <w:t>-</w:t>
        </w:r>
      </w:hyperlink>
      <w:hyperlink r:id="rId9" w:history="1">
        <w:r>
          <w:rPr>
            <w:rFonts w:ascii="arial" w:eastAsia="arial" w:hAnsi="arial" w:cs="arial"/>
            <w:b/>
            <w:i/>
            <w:strike w:val="0"/>
            <w:noProof w:val="0"/>
            <w:color w:val="0077CC"/>
            <w:position w:val="0"/>
            <w:sz w:val="20"/>
            <w:u w:val="single"/>
            <w:shd w:val="clear" w:color="auto" w:fill="FFFFFF"/>
            <w:vertAlign w:val="baseline"/>
          </w:rPr>
          <w:t>loss</w:t>
        </w:r>
      </w:hyperlink>
      <w:hyperlink r:id="rId9" w:history="1">
        <w:r>
          <w:rPr>
            <w:rFonts w:ascii="arial" w:eastAsia="arial" w:hAnsi="arial" w:cs="arial"/>
            <w:b w:val="0"/>
            <w:i/>
            <w:strike w:val="0"/>
            <w:noProof w:val="0"/>
            <w:color w:val="0077CC"/>
            <w:position w:val="0"/>
            <w:sz w:val="20"/>
            <w:u w:val="single"/>
            <w:shd w:val="clear" w:color="auto" w:fill="FFFFFF"/>
            <w:vertAlign w:val="baseline"/>
          </w:rPr>
          <w:t>/#_ftn1</w:t>
        </w:r>
      </w:hyperlink>
      <w:r>
        <w:rPr>
          <w:rFonts w:ascii="arial" w:eastAsia="arial" w:hAnsi="arial" w:cs="arial"/>
          <w:b w:val="0"/>
          <w:i w:val="0"/>
          <w:strike w:val="0"/>
          <w:noProof w:val="0"/>
          <w:color w:val="000000"/>
          <w:position w:val="0"/>
          <w:sz w:val="20"/>
          <w:u w:val="none"/>
          <w:vertAlign w:val="baseline"/>
        </w:rPr>
        <w:t xml:space="preserve"> [ 2]: </w:t>
      </w:r>
      <w:hyperlink r:id="rId10" w:history="1">
        <w:r>
          <w:rPr>
            <w:rFonts w:ascii="arial" w:eastAsia="arial" w:hAnsi="arial" w:cs="arial"/>
            <w:b w:val="0"/>
            <w:i/>
            <w:strike w:val="0"/>
            <w:noProof w:val="0"/>
            <w:color w:val="0077CC"/>
            <w:position w:val="0"/>
            <w:sz w:val="20"/>
            <w:u w:val="single"/>
            <w:shd w:val="clear" w:color="auto" w:fill="FFFFFF"/>
            <w:vertAlign w:val="baseline"/>
          </w:rPr>
          <w:t>https://www.cdc-biodiversite.fr</w:t>
        </w:r>
      </w:hyperlink>
      <w:r>
        <w:rPr>
          <w:rFonts w:ascii="arial" w:eastAsia="arial" w:hAnsi="arial" w:cs="arial"/>
          <w:b w:val="0"/>
          <w:i w:val="0"/>
          <w:strike w:val="0"/>
          <w:noProof w:val="0"/>
          <w:color w:val="000000"/>
          <w:position w:val="0"/>
          <w:sz w:val="20"/>
          <w:u w:val="none"/>
          <w:vertAlign w:val="baseline"/>
        </w:rPr>
        <w:t xml:space="preserve">/ [ 3]: </w:t>
      </w:r>
      <w:hyperlink r:id="rId11" w:history="1">
        <w:r>
          <w:rPr>
            <w:rFonts w:ascii="arial" w:eastAsia="arial" w:hAnsi="arial" w:cs="arial"/>
            <w:b w:val="0"/>
            <w:i/>
            <w:strike w:val="0"/>
            <w:noProof w:val="0"/>
            <w:color w:val="0077CC"/>
            <w:position w:val="0"/>
            <w:sz w:val="20"/>
            <w:u w:val="single"/>
            <w:shd w:val="clear" w:color="auto" w:fill="FFFFFF"/>
            <w:vertAlign w:val="baseline"/>
          </w:rPr>
          <w:t>https://schneiderelectric.sharepoint.com/sites/EnvironmentComm/Shared%20Documents/</w:t>
        </w:r>
      </w:hyperlink>
      <w:hyperlink r:id="rId11"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/add%20link%20to%20White%20Paper</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Blog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TBLM-6759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NEGATIVE BUSINESS NEWS (90%); SUSTAINABLE DEVELOPMENT (90%); GREENHOUSE GASES (89%); NONGOVERNMENTAL ORGANIZATIONS (89%); LAND USE &amp; DEVELOPMENT (78%); NATURAL RESOURCES (78%); SOCIETY, SOCIAL ASSISTANCE &amp; LIFESTYLE (78%); ASSOCIATIONS &amp; ORGANIZATIONS (77%); ECONOMICS (75%); EMISSIONS (73%); SCIENCE &amp; TECHNOLOGY (72%); Life on Land (%);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 Wildlife Conservation (%);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 Water (%); Trees (%); Environment (%); Climate Action (%); EPA:SU (%); olivier blum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SCHNEIDER ELECTRIC SA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SU (PAR)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NAICS335313 SWITCHGEAR &amp; SWITCHBOARD APPARATUS MANUFACTURING (58%); NAICS335311 POWER, DISTRIBUTION &amp; SPECIALTY TRANSFORMER MANUFACTURING (58%); SIC3613 SWITCHGEAR &amp; SWITCHBOARD APPARATUS (58%); SIC3612 POWER, DISTRIBUTION, &amp; SPECIALTY TRANSFORMERS (58%); SUSTAINABLE DEVELOPMENT (90%); EMISSIONS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Schneider Electric's Actions to Reverse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dc-biodiversite.fr" TargetMode="External" /><Relationship Id="rId11" Type="http://schemas.openxmlformats.org/officeDocument/2006/relationships/hyperlink" Target="https://schneiderelectric.sharepoint.com/sites/EnvironmentComm/Shared%20Documents/Biodiversity/add%20link%20to%20White%20Pape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4F-TMT1-JCMN-Y4H6-00000-00&amp;context=1516831" TargetMode="External" /><Relationship Id="rId8" Type="http://schemas.openxmlformats.org/officeDocument/2006/relationships/hyperlink" Target="http://3blmedia.com" TargetMode="External" /><Relationship Id="rId9" Type="http://schemas.openxmlformats.org/officeDocument/2006/relationships/hyperlink" Target="https://blog.se.com/sustainability/2020/10/08/our-actions-to-reverse-biodiversity-loss/#_ftn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Schneider Electric's Actions to Reverse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14F-TMT1-JCMN-Y4H6-00000-00">
    <vt:lpwstr>Doc::/shared/document|contextualFeaturePermID::1516831</vt:lpwstr>
  </property>
  <property fmtid="{D5CDD505-2E9C-101B-9397-08002B2CF9AE}" pid="5" name="UserPermID">
    <vt:lpwstr>urn:user:PA184731166</vt:lpwstr>
  </property>
</Properties>
</file>