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investors 'need to focus more on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China Morning Post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19, 2022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South China Morning Post Ltd.All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BUSINESS; Pg. 2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Martin Choi , </w:t>
      </w:r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martin.choi@scmp.com</w:t>
        </w:r>
      </w:hyperlink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As is the case with carbon emissions, businesses could take action to prevent financial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nature-related risks, JPMorgan unit says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Investors often overlook the financial risks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bio­diversity and would be helped in making their decisions by regular assessments of the issue by ­businesses, according to J.P. Morgan Asset Management.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investment community needed to reframe the impact of nature-related risks on the financial performance of businesses, said Tomomi Shimada, the company's lead sustainable investing strategist for Asia-Pacific.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"Most companies are now already routinely reporting on carbon emissions, [but] maybe not so much on water con­sumption or land degradation," Shimada said.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By 2030, the decline of bio­diversity and ecosystems could cost around US$2.7 trillion ­annually, or 2.3 per cent of global gross domestic product, with poorer countries hit the hardest and seeing a drop in GDP of more than 10 per cent, according to the World Bank's "The Economic Case for Nature" report in June.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ranks third among the top global risks by severity over the next decade, behind climate action failure and extreme weather, according to a survey of nearly 1,000 experts and leaders in the World Economic Forum's (WEF) "Global Risks Report 2022" released in January.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nature-related risks were not as easy to measure as climate change metrics such as carbon emissions, it was im­­portant that they were regularly identified, assessed and disclosed by businesses, Shimada said.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"By having those regular assessments and disclosures, it will help prevent mispricing or [investors] having an inaccurate understanding of how much of a capital buffer there is for the long-term impact [of nature-related risks]. I think that's crucial as a starting point," Shimada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More than half the world's GDP, or US$44 trillion of economic value, is at immediate risk as a result of nature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according to the "Nature Risk Rising" report published by the WEF in 2020.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stalling this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making investments with "nature- positive" outcomes could generate new business opportunities worth US$10 trillion annually and create 395 million jobs by 2030, the WEF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"Having comparable data is crucial for investors to feel comfortable in making a decision based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," Shimada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reporting framework being developed by the Taskforce on Nature-related Financial Disclosures (TNFD), an initiative first announced in July 2020 to enable organisations to report and act on ecological risks, would definitely help the investment community consider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proactively, she said.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TNFD last month released the first beta version of a framework for market consultation, and has said it planned to deliver the final version in September 2023.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Recognising the linkage between climate change and nature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 framework aimed to build on work done by the  Task Force on Climate-related Financial Disclosures, in response to calls from market participants for a consistent approach to ­sustainability reporting, the TNFD said when it released the beta version.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TNFD framework could be used as a practical starting point for financial institutions to engage with companies on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approach and make risk assessments and map ­exposure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said Katarina Heissenberger, a senior ESG analyst at Swedish fund manager Swedbank Robur. She was speaking at a webinar on April 12 co-organised by the United Nations Environment Programme Finance Initiative and the Finance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Foundation.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"As a global investor, we do want to see a consistent framework being applied. We're really hoping that the TNFD can proceed to have the detailed framework laid out sooner rather than later," Shimada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"Climate change is an area  [the investment community] has already been speaking about, but it's just one aspect of the environment's natural ecosystem,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really what we have begun to focus on and which I think will continue to be the focus throughout this year.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"Hopefully, we will see more progress made this year, ­especially on the policy front. But we can't just wait for those policies to come out. Investors do need to take action."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(93%);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(90%); EMISSIONS (90%); GREENHOUSE GASES (90%); GROSS DOMESTIC PRODUCT (90%); RISK MANAGEMENT (90%); CLIMATE CHANGE (89%); GREEN FINANCE (89%); COMPANY ACTIVITIES &amp; MANAGEMENT (79%); SUSTAINABLE INVESTING (79%); CLIMATE ACTION (78%); DEVELOPMENT BANKS (78%); ECOLOGY &amp; ENVIRONMENTAL SCIENCE (78%); ECONOMY &amp; ECONOMIC INDICATORS (78%); FINANCIAL PERFORMANCE &amp; REPORTS (78%); NEGATIVE ECONOMIC NEWS (78%); SUSTAINABLE DEVELOPMENT (76%); ASSOCIATIONS &amp; ORGANIZATIONS (72%); SUSTAINABILITY (72%); INTERNATIONAL ECONOMIC ORGANIZATIONS (70%); LAND DEGRADATION (70%); POLLS &amp; SURVEYS (70%); WATER CONSUMPTION (70%); ECONOMIC NEWS (69%); JOB CREATION (68%); SEVERE WEATHER (67%); WEATHER (67%)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EMISSIONS (90%); RISK MANAGEMENT (90%); GREEN FINANCE (89%); SUSTAINABLE INVESTING (79%); DEVELOPMENT BANKS (78%); SUSTAINABLE DEVELOPMENT (76%); WATER CONSUMPTION (70%)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ASIA (79%)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18,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investors 'need to focus more on biodiversity loss'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82-1XV1-DYRW-R16V-00000-00&amp;context=1516831" TargetMode="External" /><Relationship Id="rId8" Type="http://schemas.openxmlformats.org/officeDocument/2006/relationships/hyperlink" Target="mailto:martin.choi@scmp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investors 'need to focus more on biodiversity loss'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222968881</vt:lpwstr>
  </property>
  <property fmtid="{D5CDD505-2E9C-101B-9397-08002B2CF9AE}" pid="3" name="LADocCount">
    <vt:lpwstr>1</vt:lpwstr>
  </property>
  <property fmtid="{D5CDD505-2E9C-101B-9397-08002B2CF9AE}" pid="4" name="LADocumentID:urn:contentItem:6582-1XV1-DYRW-R16V-00000-00">
    <vt:lpwstr>Doc::/shared/document|contextualFeaturePermID::1516831</vt:lpwstr>
  </property>
  <property fmtid="{D5CDD505-2E9C-101B-9397-08002B2CF9AE}" pid="5" name="UserPermID">
    <vt:lpwstr>urn:user:PA184731166</vt:lpwstr>
  </property>
</Properties>
</file>