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4B60DB" w:rsidRDefault="004B60DB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4B60DB" w:rsidTr="000D03B4">
            <w:tc>
              <w:tcPr>
                <w:tcW w:w="9804" w:type="dxa"/>
              </w:tcPr>
              <w:sdt>
                <w:sdtPr>
                  <w:rPr>
                    <w:sz w:val="96"/>
                  </w:rPr>
                  <w:alias w:val="Title"/>
                  <w:id w:val="-308007970"/>
                  <w:placeholder>
                    <w:docPart w:val="04F73E7249024363B75D339D1E398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B60DB" w:rsidRDefault="000D03B4" w:rsidP="000D03B4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Multi-Area OSPF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Subtitle"/>
                  <w:id w:val="758173203"/>
                  <w:placeholder>
                    <w:docPart w:val="CEAEE0CB164941788BC17A2AFE4EFC3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4B60DB" w:rsidRDefault="000D03B4" w:rsidP="000D03B4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Exploring Special Area Types</w:t>
                    </w:r>
                  </w:p>
                </w:sdtContent>
              </w:sdt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/>
            </w:tc>
          </w:tr>
          <w:tr w:rsidR="004B60DB">
            <w:tc>
              <w:tcPr>
                <w:tcW w:w="0" w:type="auto"/>
                <w:vAlign w:val="bottom"/>
              </w:tcPr>
              <w:p w:rsidR="004B60DB" w:rsidRDefault="004B60DB" w:rsidP="000D03B4"/>
            </w:tc>
          </w:tr>
        </w:tbl>
        <w:p w:rsidR="004B60DB" w:rsidRDefault="002C3273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lastRenderedPageBreak/>
            <w:br w:type="page"/>
          </w:r>
        </w:p>
      </w:sdtContent>
    </w:sdt>
    <w:sdt>
      <w:sdtPr>
        <w:alias w:val="Title"/>
        <w:id w:val="598529223"/>
        <w:placeholder>
          <w:docPart w:val="04F73E7249024363B75D339D1E3986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4B60DB" w:rsidRDefault="000D03B4">
          <w:pPr>
            <w:pStyle w:val="Title"/>
          </w:pPr>
          <w:r>
            <w:t>Multi-Area OSPF</w:t>
          </w:r>
        </w:p>
      </w:sdtContent>
    </w:sdt>
    <w:p w:rsidR="004B60DB" w:rsidRDefault="005C26EC">
      <w:pPr>
        <w:pStyle w:val="Subtitle"/>
      </w:pPr>
      <w:sdt>
        <w:sdtPr>
          <w:alias w:val="Subtitle"/>
          <w:id w:val="-723052804"/>
          <w:placeholder>
            <w:docPart w:val="CEAEE0CB164941788BC17A2AFE4EFC34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0D03B4">
            <w:t>Exploring Special Area Types</w:t>
          </w:r>
        </w:sdtContent>
      </w:sdt>
    </w:p>
    <w:p w:rsidR="004B60DB" w:rsidRPr="009A201E" w:rsidRDefault="009A201E" w:rsidP="009A201E">
      <w:pPr>
        <w:pStyle w:val="Heading1"/>
      </w:pPr>
      <w:r w:rsidRPr="009A201E">
        <w:t>Purpose</w:t>
      </w:r>
    </w:p>
    <w:p w:rsidR="004B60DB" w:rsidRDefault="009A201E">
      <w:r w:rsidRPr="009A201E">
        <w:t>This lab is designed to explore the optimization and encapsulation of OSPF areas through the use of Stub, Totally Stubby, Not-So-Stubby, and Totally Not-So-Stubby networks.</w:t>
      </w:r>
    </w:p>
    <w:p w:rsidR="009A201E" w:rsidRDefault="009A201E"/>
    <w:p w:rsidR="009A201E" w:rsidRDefault="009A201E" w:rsidP="009A201E">
      <w:pPr>
        <w:pStyle w:val="Heading1"/>
      </w:pPr>
      <w:r>
        <w:t>Background Information</w:t>
      </w:r>
    </w:p>
    <w:p w:rsidR="009A201E" w:rsidRPr="009A201E" w:rsidRDefault="009A201E" w:rsidP="009A201E">
      <w:bookmarkStart w:id="0" w:name="_GoBack"/>
      <w:bookmarkEnd w:id="0"/>
    </w:p>
    <w:sectPr w:rsidR="009A201E" w:rsidRPr="009A201E">
      <w:headerReference w:type="default" r:id="rId10"/>
      <w:footerReference w:type="even" r:id="rId11"/>
      <w:footerReference w:type="default" r:id="rId1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3B4" w:rsidRDefault="000D03B4">
      <w:pPr>
        <w:spacing w:after="0" w:line="240" w:lineRule="auto"/>
      </w:pPr>
      <w:r>
        <w:separator/>
      </w:r>
    </w:p>
  </w:endnote>
  <w:endnote w:type="continuationSeparator" w:id="0">
    <w:p w:rsidR="000D03B4" w:rsidRDefault="000D0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0DB" w:rsidRDefault="004B60DB">
    <w:pPr>
      <w:jc w:val="right"/>
    </w:pPr>
  </w:p>
  <w:p w:rsidR="004B60DB" w:rsidRDefault="002C3273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4B60DB" w:rsidRDefault="002C3273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EFD72F9" id="Grou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SBjDw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:rsidR="004B60DB" w:rsidRDefault="004B60DB">
    <w:pPr>
      <w:pStyle w:val="NoSpacing"/>
      <w:rPr>
        <w:sz w:val="2"/>
        <w:szCs w:val="2"/>
      </w:rPr>
    </w:pPr>
  </w:p>
  <w:p w:rsidR="004B60DB" w:rsidRDefault="004B60DB"/>
  <w:p w:rsidR="004B60DB" w:rsidRDefault="004B60DB"/>
  <w:p w:rsidR="004B60DB" w:rsidRDefault="004B60DB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60DB" w:rsidRDefault="002C3273">
    <w:pPr>
      <w:jc w:val="center"/>
    </w:pPr>
    <w:r>
      <w:rPr>
        <w:rFonts w:hint="eastAsia"/>
        <w:color w:val="6076B4" w:themeColor="accent1"/>
      </w:rPr>
      <w:fldChar w:fldCharType="begin"/>
    </w:r>
    <w:r>
      <w:rPr>
        <w:rFonts w:hint="eastAsia"/>
        <w:color w:val="6076B4" w:themeColor="accent1"/>
      </w:rPr>
      <w:instrText xml:space="preserve"> </w:instrText>
    </w:r>
    <w:r>
      <w:rPr>
        <w:color w:val="6076B4" w:themeColor="accent1"/>
      </w:rPr>
      <w:instrText>STYLEREF  "Heading 1"</w:instrText>
    </w:r>
    <w:r>
      <w:rPr>
        <w:rFonts w:hint="eastAsia"/>
        <w:color w:val="6076B4" w:themeColor="accent1"/>
      </w:rPr>
      <w:instrText xml:space="preserve"> </w:instrText>
    </w:r>
    <w:r>
      <w:rPr>
        <w:rFonts w:hint="eastAsia"/>
        <w:color w:val="6076B4" w:themeColor="accent1"/>
      </w:rPr>
      <w:fldChar w:fldCharType="separate"/>
    </w:r>
    <w:r w:rsidR="005C26EC">
      <w:rPr>
        <w:noProof/>
        <w:color w:val="6076B4" w:themeColor="accent1"/>
      </w:rPr>
      <w:t>Purpose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 xml:space="preserve"> PAGE  \* Arabic  \* MERGEFORMAT </w:instrText>
    </w:r>
    <w:r>
      <w:rPr>
        <w:color w:val="6076B4" w:themeColor="accent1"/>
      </w:rPr>
      <w:fldChar w:fldCharType="separate"/>
    </w:r>
    <w:r w:rsidR="005C26EC">
      <w:rPr>
        <w:noProof/>
        <w:color w:val="6076B4" w:themeColor="accent1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3B4" w:rsidRDefault="000D03B4">
      <w:pPr>
        <w:spacing w:after="0" w:line="240" w:lineRule="auto"/>
      </w:pPr>
      <w:r>
        <w:separator/>
      </w:r>
    </w:p>
  </w:footnote>
  <w:footnote w:type="continuationSeparator" w:id="0">
    <w:p w:rsidR="000D03B4" w:rsidRDefault="000D03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076B4" w:themeColor="accent1"/>
      </w:rPr>
      <w:alias w:val="Title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B60DB" w:rsidRDefault="000D03B4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Multi-Area OSPF</w:t>
        </w:r>
      </w:p>
    </w:sdtContent>
  </w:sdt>
  <w:p w:rsidR="004B60DB" w:rsidRDefault="002C3273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B4"/>
    <w:rsid w:val="000D03B4"/>
    <w:rsid w:val="002C3273"/>
    <w:rsid w:val="004B60DB"/>
    <w:rsid w:val="005C26EC"/>
    <w:rsid w:val="009A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4E1E447-EEF5-4A1A-9DEE-D8272F1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sco\AppData\Roaming\Microsoft\Templates\Report%20(Executiv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F73E7249024363B75D339D1E398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AC576-0C6A-456F-B71D-D70545D56FE5}"/>
      </w:docPartPr>
      <w:docPartBody>
        <w:p w:rsidR="007F57FC" w:rsidRDefault="00825E84">
          <w:pPr>
            <w:pStyle w:val="04F73E7249024363B75D339D1E3986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EAEE0CB164941788BC17A2AFE4EF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72F60-54AD-429D-ADF9-263A2E6CF918}"/>
      </w:docPartPr>
      <w:docPartBody>
        <w:p w:rsidR="007F57FC" w:rsidRDefault="00825E84">
          <w:pPr>
            <w:pStyle w:val="CEAEE0CB164941788BC17A2AFE4EFC3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HGS明朝E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E84"/>
    <w:rsid w:val="007F57FC"/>
    <w:rsid w:val="0082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F73E7249024363B75D339D1E398697">
    <w:name w:val="04F73E7249024363B75D339D1E398697"/>
  </w:style>
  <w:style w:type="paragraph" w:customStyle="1" w:styleId="CEAEE0CB164941788BC17A2AFE4EFC34">
    <w:name w:val="CEAEE0CB164941788BC17A2AFE4EFC34"/>
  </w:style>
  <w:style w:type="paragraph" w:customStyle="1" w:styleId="164845108BBA43A69EBC8901F5A831D1">
    <w:name w:val="164845108BBA43A69EBC8901F5A831D1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1A1754780E2D49599BAE7331A06E8680">
    <w:name w:val="1A1754780E2D49599BAE7331A06E8680"/>
  </w:style>
  <w:style w:type="paragraph" w:customStyle="1" w:styleId="B9EDA1B41F5C4EC19AA7D1C54A60ACF2">
    <w:name w:val="B9EDA1B41F5C4EC19AA7D1C54A60ACF2"/>
    <w:rsid w:val="00825E84"/>
  </w:style>
  <w:style w:type="paragraph" w:customStyle="1" w:styleId="2EF5236110814552981FBF6899B6B5CA">
    <w:name w:val="2EF5236110814552981FBF6899B6B5CA"/>
    <w:rsid w:val="00825E84"/>
  </w:style>
  <w:style w:type="paragraph" w:customStyle="1" w:styleId="0BBDB0815AB14A71BC9F4A3713BA4847">
    <w:name w:val="0BBDB0815AB14A71BC9F4A3713BA4847"/>
    <w:rsid w:val="00825E84"/>
  </w:style>
  <w:style w:type="paragraph" w:customStyle="1" w:styleId="DE796DEE5C63424A936378CEF26E4253">
    <w:name w:val="DE796DEE5C63424A936378CEF26E4253"/>
    <w:rsid w:val="00825E84"/>
  </w:style>
  <w:style w:type="paragraph" w:customStyle="1" w:styleId="F65AD9B91A264C5486724E6B0C40BA79">
    <w:name w:val="F65AD9B91A264C5486724E6B0C40BA79"/>
    <w:rsid w:val="00825E84"/>
  </w:style>
  <w:style w:type="paragraph" w:customStyle="1" w:styleId="5EB987CA6FBA4B26A55D213D2BCD5167">
    <w:name w:val="5EB987CA6FBA4B26A55D213D2BCD5167"/>
    <w:rsid w:val="00825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This lab is designed to explore the optimization and encapsulation of OSPF areas through the use of Stub, Totally Stubby, Not-So-Stubby, and Totally Not-So-Stubby networks.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083CA12-5842-482C-AF8F-1352C3F1AC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C81037-1A1D-493E-B06C-D90C23E2A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</Template>
  <TotalTime>14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Multi-Area OSPF</dc:title>
  <dc:subject>Exploring Special Area Types</dc:subject>
  <dc:creator>cisco</dc:creator>
  <cp:keywords/>
  <cp:lastModifiedBy>cisco</cp:lastModifiedBy>
  <cp:revision>3</cp:revision>
  <cp:lastPrinted>2009-08-05T20:41:00Z</cp:lastPrinted>
  <dcterms:created xsi:type="dcterms:W3CDTF">2017-09-07T20:27:00Z</dcterms:created>
  <dcterms:modified xsi:type="dcterms:W3CDTF">2017-09-07T20:55:00Z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