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4B60DB" w:rsidRDefault="004B60DB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B60DB" w:rsidTr="000D03B4">
            <w:tc>
              <w:tcPr>
                <w:tcW w:w="980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04F73E7249024363B75D339D1E3986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B60DB" w:rsidRDefault="000D03B4" w:rsidP="000D03B4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Multi-Area OSPF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CEAEE0CB164941788BC17A2AFE4EFC3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B60DB" w:rsidRDefault="00E2535E" w:rsidP="000D03B4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Optimizing Large Networks with Special OSPF Areas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/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 w:rsidP="000D03B4"/>
            </w:tc>
          </w:tr>
        </w:tbl>
        <w:p w:rsidR="004B60DB" w:rsidRDefault="002C327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placeholder>
          <w:docPart w:val="04F73E7249024363B75D339D1E3986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B60DB" w:rsidRDefault="000D03B4">
          <w:pPr>
            <w:pStyle w:val="Title"/>
          </w:pPr>
          <w:r>
            <w:t>Multi-Area OSPF</w:t>
          </w:r>
        </w:p>
      </w:sdtContent>
    </w:sdt>
    <w:p w:rsidR="004B60DB" w:rsidRDefault="000C110D">
      <w:pPr>
        <w:pStyle w:val="Subtitle"/>
      </w:pPr>
      <w:sdt>
        <w:sdtPr>
          <w:alias w:val="Subtitle"/>
          <w:id w:val="-723052804"/>
          <w:placeholder>
            <w:docPart w:val="CEAEE0CB164941788BC17A2AFE4EFC3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2535E">
            <w:t>Optimizing Large Networks with Special OSPF Areas</w:t>
          </w:r>
        </w:sdtContent>
      </w:sdt>
    </w:p>
    <w:p w:rsidR="009A201E" w:rsidRDefault="009A201E" w:rsidP="00486C6D">
      <w:pPr>
        <w:pStyle w:val="Heading1"/>
      </w:pPr>
      <w:r w:rsidRPr="009A201E">
        <w:t>Purpos</w:t>
      </w:r>
      <w:r w:rsidR="00D13736">
        <w:t>e</w:t>
      </w:r>
    </w:p>
    <w:p w:rsidR="00486C6D" w:rsidRPr="00486C6D" w:rsidRDefault="00486C6D" w:rsidP="00486C6D">
      <w:r>
        <w:t xml:space="preserve">This document outlines the use of Special OSPF Areas to optimize convergence time and </w:t>
      </w:r>
      <w:r w:rsidR="00D54E9C">
        <w:t>Queuing delay</w:t>
      </w:r>
      <w:r>
        <w:t xml:space="preserve"> in large networks.</w:t>
      </w:r>
    </w:p>
    <w:p w:rsidR="00D676CE" w:rsidRDefault="009A201E" w:rsidP="00BD6662">
      <w:pPr>
        <w:pStyle w:val="Heading1"/>
      </w:pPr>
      <w:r>
        <w:t>Background Information</w:t>
      </w:r>
    </w:p>
    <w:p w:rsidR="00D649A2" w:rsidRDefault="00176492" w:rsidP="00D649A2">
      <w:r>
        <w:t>Open Shortest Path</w:t>
      </w:r>
      <w:r w:rsidR="00C666FB">
        <w:t xml:space="preserve"> First</w:t>
      </w:r>
      <w:r>
        <w:t xml:space="preserve"> (</w:t>
      </w:r>
      <w:r w:rsidR="00B93115">
        <w:t>OSPF</w:t>
      </w:r>
      <w:r>
        <w:t>)</w:t>
      </w:r>
      <w:r w:rsidR="00B93115">
        <w:t xml:space="preserve"> is </w:t>
      </w:r>
      <w:r w:rsidR="00DF0B75">
        <w:t>an open standard</w:t>
      </w:r>
      <w:r w:rsidR="00B93115">
        <w:t xml:space="preserve"> link state routing protocol that uses cost as a metric to </w:t>
      </w:r>
      <w:r w:rsidR="006932E8">
        <w:t>determine the shortest path to the destination network. OSPF can divide logical groups of routers into “Areas”</w:t>
      </w:r>
      <w:r w:rsidR="00E10084">
        <w:t xml:space="preserve">. Routers </w:t>
      </w:r>
      <w:r w:rsidR="006932E8">
        <w:t xml:space="preserve">must only maintain </w:t>
      </w:r>
      <w:r w:rsidR="007E1466">
        <w:t xml:space="preserve">the topology information </w:t>
      </w:r>
      <w:r w:rsidR="006932E8">
        <w:t>of the</w:t>
      </w:r>
      <w:r w:rsidR="007E1466">
        <w:t xml:space="preserve"> other</w:t>
      </w:r>
      <w:r w:rsidR="006932E8">
        <w:t xml:space="preserve"> routers in </w:t>
      </w:r>
      <w:r w:rsidR="00E10084">
        <w:t>their common area</w:t>
      </w:r>
      <w:r w:rsidR="006932E8">
        <w:t>.</w:t>
      </w:r>
      <w:r w:rsidR="00E10084">
        <w:t xml:space="preserve"> The use of many areas in a network topology, </w:t>
      </w:r>
      <w:r w:rsidR="00314B15">
        <w:t xml:space="preserve">or </w:t>
      </w:r>
      <w:r w:rsidR="00486C6D">
        <w:t>Multi-Area OSPF</w:t>
      </w:r>
      <w:r w:rsidR="00E10084">
        <w:t>,</w:t>
      </w:r>
      <w:r w:rsidR="00486C6D">
        <w:t xml:space="preserve"> is a design technique that aids in the maintainability and scalability </w:t>
      </w:r>
      <w:r w:rsidR="001330BF">
        <w:t>of</w:t>
      </w:r>
      <w:r w:rsidR="00314B15">
        <w:t xml:space="preserve"> larg</w:t>
      </w:r>
      <w:r w:rsidR="007E1466">
        <w:t xml:space="preserve">e networks. Routing between different areas are done through an Area Border Router (ABR) that connects a given area and the backbone area. The backbone area is a special area type that must have an area number of </w:t>
      </w:r>
      <w:r w:rsidR="00600AC2">
        <w:t>zero</w:t>
      </w:r>
      <w:r w:rsidR="007E1466">
        <w:t xml:space="preserve"> and connects all areas</w:t>
      </w:r>
      <w:r w:rsidR="001330BF">
        <w:t xml:space="preserve"> in the topology</w:t>
      </w:r>
      <w:r w:rsidR="007E1466">
        <w:t xml:space="preserve">. The backbone area is where all </w:t>
      </w:r>
      <w:r w:rsidR="001B2C66">
        <w:t>inter</w:t>
      </w:r>
      <w:r w:rsidR="007E1466">
        <w:t>-area traffic must travel through.</w:t>
      </w:r>
    </w:p>
    <w:p w:rsidR="00BD6662" w:rsidRDefault="00BD6662" w:rsidP="00BD6662">
      <w:pPr>
        <w:pStyle w:val="Heading2"/>
      </w:pPr>
      <w:r>
        <w:t>Link State Advertisements</w:t>
      </w:r>
    </w:p>
    <w:p w:rsidR="00BD6662" w:rsidRDefault="00BD6662" w:rsidP="00BD6662">
      <w:r>
        <w:t xml:space="preserve">Link State Advertisements (LSAs) is the mechanism routers use to communicate link state information. </w:t>
      </w:r>
      <w:r w:rsidR="000E2D63">
        <w:t>A collection of LSAs form the LSDB, which then forms the shortest path tree</w:t>
      </w:r>
      <w:r w:rsidR="00F95B76">
        <w:t>, which forms the routing table</w:t>
      </w:r>
      <w:r w:rsidR="00DE5FBA">
        <w:t xml:space="preserve">. There are 8 LSA Types, each </w:t>
      </w:r>
      <w:r w:rsidR="007B7D7F">
        <w:t>describe a different part of the routing domain</w:t>
      </w:r>
      <w:r w:rsidR="00DE5FBA">
        <w:t>.</w:t>
      </w:r>
    </w:p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1218"/>
        <w:gridCol w:w="1888"/>
        <w:gridCol w:w="2006"/>
        <w:gridCol w:w="5072"/>
      </w:tblGrid>
      <w:tr w:rsidR="00E83438" w:rsidTr="00E83438">
        <w:trPr>
          <w:trHeight w:val="240"/>
        </w:trPr>
        <w:tc>
          <w:tcPr>
            <w:tcW w:w="1218" w:type="dxa"/>
          </w:tcPr>
          <w:p w:rsidR="009C1135" w:rsidRDefault="009C1135" w:rsidP="009C1135">
            <w:r>
              <w:t>LSA Type</w:t>
            </w:r>
          </w:p>
        </w:tc>
        <w:tc>
          <w:tcPr>
            <w:tcW w:w="1888" w:type="dxa"/>
          </w:tcPr>
          <w:p w:rsidR="009C1135" w:rsidRDefault="00E83438" w:rsidP="009C1135">
            <w:r>
              <w:t xml:space="preserve">LSA </w:t>
            </w:r>
            <w:r w:rsidR="009C1135">
              <w:t>Name</w:t>
            </w:r>
          </w:p>
        </w:tc>
        <w:tc>
          <w:tcPr>
            <w:tcW w:w="2006" w:type="dxa"/>
          </w:tcPr>
          <w:p w:rsidR="009C1135" w:rsidRDefault="009C1135" w:rsidP="009C1135">
            <w:pPr>
              <w:jc w:val="center"/>
            </w:pPr>
            <w:r>
              <w:t>Link-State ID</w:t>
            </w:r>
          </w:p>
        </w:tc>
        <w:tc>
          <w:tcPr>
            <w:tcW w:w="5072" w:type="dxa"/>
          </w:tcPr>
          <w:p w:rsidR="009C1135" w:rsidRDefault="009C1135" w:rsidP="009C1135">
            <w:r>
              <w:t>Description</w:t>
            </w:r>
          </w:p>
        </w:tc>
      </w:tr>
      <w:tr w:rsidR="00E83438" w:rsidTr="00E83438">
        <w:trPr>
          <w:trHeight w:val="566"/>
        </w:trPr>
        <w:tc>
          <w:tcPr>
            <w:tcW w:w="1218" w:type="dxa"/>
          </w:tcPr>
          <w:p w:rsidR="009C1135" w:rsidRDefault="009C1135" w:rsidP="009C1135">
            <w:r>
              <w:t>1</w:t>
            </w:r>
          </w:p>
        </w:tc>
        <w:tc>
          <w:tcPr>
            <w:tcW w:w="1888" w:type="dxa"/>
          </w:tcPr>
          <w:p w:rsidR="009C1135" w:rsidRDefault="00E83438" w:rsidP="009C1135">
            <w:r>
              <w:t>Router</w:t>
            </w:r>
          </w:p>
        </w:tc>
        <w:tc>
          <w:tcPr>
            <w:tcW w:w="2006" w:type="dxa"/>
          </w:tcPr>
          <w:p w:rsidR="009C1135" w:rsidRDefault="009C1135" w:rsidP="009C1135">
            <w:r>
              <w:t>Router ID</w:t>
            </w:r>
          </w:p>
        </w:tc>
        <w:tc>
          <w:tcPr>
            <w:tcW w:w="5072" w:type="dxa"/>
          </w:tcPr>
          <w:p w:rsidR="009C1135" w:rsidRDefault="009C1135" w:rsidP="009C1135">
            <w:r>
              <w:t xml:space="preserve">Every router participating in OSPF will flood its area with a single Router LSA to describes the </w:t>
            </w:r>
            <w:r w:rsidRPr="00777409">
              <w:t>state</w:t>
            </w:r>
            <w:r>
              <w:t xml:space="preserve"> and </w:t>
            </w:r>
            <w:r w:rsidRPr="00777409">
              <w:t>cost</w:t>
            </w:r>
            <w:r>
              <w:t xml:space="preserve"> of all the router’s OSPF participating links.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9C1135" w:rsidRDefault="009C1135" w:rsidP="009C1135">
            <w:r>
              <w:t>2</w:t>
            </w:r>
          </w:p>
        </w:tc>
        <w:tc>
          <w:tcPr>
            <w:tcW w:w="1888" w:type="dxa"/>
          </w:tcPr>
          <w:p w:rsidR="009C1135" w:rsidRDefault="009C1135" w:rsidP="009C1135">
            <w:r>
              <w:t xml:space="preserve">Network </w:t>
            </w:r>
          </w:p>
        </w:tc>
        <w:tc>
          <w:tcPr>
            <w:tcW w:w="2006" w:type="dxa"/>
          </w:tcPr>
          <w:p w:rsidR="009C1135" w:rsidRDefault="009C1135" w:rsidP="009C1135">
            <w:r>
              <w:t>DR’s IP address</w:t>
            </w:r>
          </w:p>
        </w:tc>
        <w:tc>
          <w:tcPr>
            <w:tcW w:w="5072" w:type="dxa"/>
          </w:tcPr>
          <w:p w:rsidR="009C1135" w:rsidRDefault="009A17BD" w:rsidP="009C1135">
            <w:r>
              <w:t>The Designated R</w:t>
            </w:r>
            <w:r w:rsidR="009C1135">
              <w:t>outer</w:t>
            </w:r>
            <w:r>
              <w:t xml:space="preserve"> (DR)</w:t>
            </w:r>
            <w:r w:rsidR="009C1135">
              <w:t xml:space="preserve"> will describe all attached routers, including itself.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9C1135" w:rsidRDefault="009C1135" w:rsidP="009C1135">
            <w:r>
              <w:t>3</w:t>
            </w:r>
          </w:p>
        </w:tc>
        <w:tc>
          <w:tcPr>
            <w:tcW w:w="1888" w:type="dxa"/>
          </w:tcPr>
          <w:p w:rsidR="009C1135" w:rsidRDefault="00E83438" w:rsidP="009C1135">
            <w:r>
              <w:t xml:space="preserve">Network </w:t>
            </w:r>
            <w:r w:rsidR="009A17BD">
              <w:t xml:space="preserve">Summary </w:t>
            </w:r>
          </w:p>
        </w:tc>
        <w:tc>
          <w:tcPr>
            <w:tcW w:w="2006" w:type="dxa"/>
          </w:tcPr>
          <w:p w:rsidR="009C1135" w:rsidRDefault="003E3426" w:rsidP="009C1135">
            <w:r>
              <w:t>Network Number</w:t>
            </w:r>
          </w:p>
        </w:tc>
        <w:tc>
          <w:tcPr>
            <w:tcW w:w="5072" w:type="dxa"/>
          </w:tcPr>
          <w:p w:rsidR="009C1135" w:rsidRDefault="009A17BD" w:rsidP="009C1135">
            <w:r>
              <w:t>Area Border Router (ABR) describes inter-area destinations.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3E3426" w:rsidRDefault="003E3426" w:rsidP="009C1135">
            <w:r>
              <w:t>4</w:t>
            </w:r>
          </w:p>
        </w:tc>
        <w:tc>
          <w:tcPr>
            <w:tcW w:w="1888" w:type="dxa"/>
          </w:tcPr>
          <w:p w:rsidR="003E3426" w:rsidRDefault="00E83438" w:rsidP="009C1135">
            <w:r>
              <w:t xml:space="preserve">ASBR </w:t>
            </w:r>
            <w:r w:rsidR="003E3426">
              <w:t xml:space="preserve">Summary </w:t>
            </w:r>
          </w:p>
        </w:tc>
        <w:tc>
          <w:tcPr>
            <w:tcW w:w="2006" w:type="dxa"/>
          </w:tcPr>
          <w:p w:rsidR="003E3426" w:rsidRDefault="003E3426" w:rsidP="009C1135">
            <w:r>
              <w:t xml:space="preserve">OSBR </w:t>
            </w:r>
            <w:r w:rsidR="002A2C63">
              <w:t>Router</w:t>
            </w:r>
            <w:r>
              <w:t xml:space="preserve"> ID</w:t>
            </w:r>
          </w:p>
        </w:tc>
        <w:tc>
          <w:tcPr>
            <w:tcW w:w="5072" w:type="dxa"/>
          </w:tcPr>
          <w:p w:rsidR="003E3426" w:rsidRDefault="003E3426" w:rsidP="009C1135">
            <w:r>
              <w:t>Area Border Router (ABR) describes inter-area destinations to a AS boundary router (ASBR).</w:t>
            </w:r>
          </w:p>
        </w:tc>
      </w:tr>
      <w:tr w:rsidR="001770B2" w:rsidTr="00E83438">
        <w:trPr>
          <w:trHeight w:val="230"/>
        </w:trPr>
        <w:tc>
          <w:tcPr>
            <w:tcW w:w="1218" w:type="dxa"/>
          </w:tcPr>
          <w:p w:rsidR="001770B2" w:rsidRDefault="001770B2" w:rsidP="009C1135">
            <w:r>
              <w:t>5</w:t>
            </w:r>
          </w:p>
        </w:tc>
        <w:tc>
          <w:tcPr>
            <w:tcW w:w="1888" w:type="dxa"/>
          </w:tcPr>
          <w:p w:rsidR="001770B2" w:rsidRDefault="001770B2" w:rsidP="009C1135">
            <w:r>
              <w:t>AS-external</w:t>
            </w:r>
          </w:p>
        </w:tc>
        <w:tc>
          <w:tcPr>
            <w:tcW w:w="2006" w:type="dxa"/>
          </w:tcPr>
          <w:p w:rsidR="001770B2" w:rsidRDefault="00113441" w:rsidP="009C1135">
            <w:r>
              <w:t>Network number</w:t>
            </w:r>
          </w:p>
        </w:tc>
        <w:tc>
          <w:tcPr>
            <w:tcW w:w="5072" w:type="dxa"/>
          </w:tcPr>
          <w:p w:rsidR="001770B2" w:rsidRDefault="001770B2" w:rsidP="009C1135">
            <w:r>
              <w:t>Describes destinations external to the OSPF autonomous system.</w:t>
            </w:r>
          </w:p>
        </w:tc>
      </w:tr>
    </w:tbl>
    <w:p w:rsidR="007B7D7F" w:rsidRDefault="007B7D7F" w:rsidP="007B7D7F"/>
    <w:p w:rsidR="007007DE" w:rsidRDefault="007007DE" w:rsidP="007007DE">
      <w:pPr>
        <w:pStyle w:val="Heading2"/>
      </w:pPr>
      <w:r>
        <w:lastRenderedPageBreak/>
        <w:t>Special Area Types</w:t>
      </w:r>
    </w:p>
    <w:p w:rsidR="007007DE" w:rsidRDefault="0050034B" w:rsidP="007007DE">
      <w:r>
        <w:t xml:space="preserve">Special area types were designed to help large organizations shrink the routing tables inside their autonomous system. </w:t>
      </w:r>
      <w:r w:rsidR="00803F9D">
        <w:t>They all serve the same purpose of encapsulating a logical group of routers, and abstracting inter-area destinations to the ABRs.</w:t>
      </w:r>
    </w:p>
    <w:p w:rsidR="008905B1" w:rsidRDefault="008905B1" w:rsidP="007007DE">
      <w:r>
        <w:t>This topology will be used for the following three examples:</w:t>
      </w:r>
    </w:p>
    <w:p w:rsidR="008905B1" w:rsidRDefault="008905B1" w:rsidP="007007DE">
      <w:r>
        <w:rPr>
          <w:noProof/>
        </w:rPr>
        <w:drawing>
          <wp:inline distT="0" distB="0" distL="0" distR="0">
            <wp:extent cx="6399646" cy="2106777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ialAre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1" b="14402"/>
                    <a:stretch/>
                  </pic:blipFill>
                  <pic:spPr bwMode="auto">
                    <a:xfrm>
                      <a:off x="0" y="0"/>
                      <a:ext cx="6400800" cy="210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7DE" w:rsidRDefault="006A39F9" w:rsidP="006A39F9">
      <w:pPr>
        <w:pStyle w:val="Heading3"/>
      </w:pPr>
      <w:r>
        <w:t>Standard Area</w:t>
      </w:r>
      <w:r w:rsidR="003B4E2B">
        <w:t>s</w:t>
      </w:r>
    </w:p>
    <w:p w:rsidR="008F1778" w:rsidRDefault="006A39F9" w:rsidP="006A39F9">
      <w:r>
        <w:t xml:space="preserve">A standard area is any area other than area 0 unless otherwise specified. The ABR summarizes all </w:t>
      </w:r>
      <w:r w:rsidR="00485A8D">
        <w:t>routes and forwards those into the area.</w:t>
      </w:r>
      <w:r w:rsidR="008905B1">
        <w:t xml:space="preserve"> Take note on how large the LSDB is, even on a small topology like this.</w:t>
      </w:r>
    </w:p>
    <w:bookmarkStart w:id="0" w:name="_MON_1566507191"/>
    <w:bookmarkEnd w:id="0"/>
    <w:p w:rsidR="008905B1" w:rsidRDefault="008905B1" w:rsidP="006A39F9">
      <w:r>
        <w:object w:dxaOrig="9360" w:dyaOrig="3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68.3pt;height:154.35pt" o:ole="" o:bordertopcolor="this" o:borderleftcolor="this" o:borderbottomcolor="this" o:borderrightcolor="this">
            <v:imagedata r:id="rId11" o:title=""/>
            <w10:bordertop type="threeDEngrave" width="24"/>
            <w10:borderleft type="threeDEngrave" width="24"/>
            <w10:borderbottom type="threeDEmboss" width="24"/>
            <w10:borderright type="threeDEmboss" width="24"/>
          </v:shape>
          <o:OLEObject Type="Embed" ProgID="Word.OpenDocumentText.12" ShapeID="_x0000_i1060" DrawAspect="Content" ObjectID="_1566509776" r:id="rId12"/>
        </w:object>
      </w:r>
    </w:p>
    <w:bookmarkStart w:id="1" w:name="_MON_1566507255"/>
    <w:bookmarkEnd w:id="1"/>
    <w:p w:rsidR="008905B1" w:rsidRPr="006A39F9" w:rsidRDefault="008905B1" w:rsidP="006A39F9">
      <w:r>
        <w:object w:dxaOrig="9360" w:dyaOrig="8758">
          <v:shape id="_x0000_i1067" type="#_x0000_t75" style="width:468.3pt;height:437.75pt" o:ole="" o:bordertopcolor="this" o:borderleftcolor="this" o:borderbottomcolor="this" o:borderrightcolor="this">
            <v:imagedata r:id="rId13" o:title=""/>
            <w10:bordertop type="threeDEngrave" width="24"/>
            <w10:borderleft type="threeDEngrave" width="24"/>
            <w10:borderbottom type="threeDEmboss" width="24"/>
            <w10:borderright type="threeDEmboss" width="24"/>
          </v:shape>
          <o:OLEObject Type="Embed" ProgID="Word.OpenDocumentText.12" ShapeID="_x0000_i1067" DrawAspect="Content" ObjectID="_1566509777" r:id="rId14"/>
        </w:object>
      </w:r>
    </w:p>
    <w:p w:rsidR="007007DE" w:rsidRDefault="00485A8D" w:rsidP="00485A8D">
      <w:pPr>
        <w:pStyle w:val="Heading3"/>
      </w:pPr>
      <w:r>
        <w:t>Stub Area</w:t>
      </w:r>
      <w:r w:rsidR="003B4E2B">
        <w:t>s</w:t>
      </w:r>
    </w:p>
    <w:p w:rsidR="00C7568B" w:rsidRDefault="00485A8D" w:rsidP="00485A8D">
      <w:r>
        <w:t xml:space="preserve">Stub areas are like standard areas in that they summarize inter-area destinations </w:t>
      </w:r>
      <w:r w:rsidR="003B4E2B">
        <w:t>at the ABR and forward them</w:t>
      </w:r>
      <w:r>
        <w:t xml:space="preserve"> </w:t>
      </w:r>
      <w:r w:rsidR="003B4E2B">
        <w:t>on</w:t>
      </w:r>
      <w:r>
        <w:t xml:space="preserve">. Where stub areas differ from standard areas, is stub areas filter all external routes </w:t>
      </w:r>
      <w:r>
        <w:lastRenderedPageBreak/>
        <w:t>(routes from other autonomous systems) and redistribute a default route to the ABR instead.</w:t>
      </w:r>
      <w:bookmarkStart w:id="2" w:name="_MON_1566506321"/>
      <w:bookmarkEnd w:id="2"/>
      <w:r w:rsidR="00AB6438">
        <w:object w:dxaOrig="9360" w:dyaOrig="4122">
          <v:shape id="_x0000_i1070" type="#_x0000_t75" style="width:468.3pt;height:206.2pt" o:ole="">
            <v:imagedata r:id="rId15" o:title=""/>
            <w10:bordertop type="threeDEngrave" width="24"/>
            <w10:borderleft type="threeDEngrave" width="24"/>
            <w10:borderbottom type="threeDEmboss" width="24"/>
            <w10:borderright type="threeDEmboss" width="24"/>
          </v:shape>
          <o:OLEObject Type="Embed" ProgID="Word.OpenDocumentText.12" ShapeID="_x0000_i1070" DrawAspect="Content" ObjectID="_1566509778" r:id="rId16"/>
        </w:object>
      </w:r>
    </w:p>
    <w:bookmarkStart w:id="3" w:name="_MON_1566506845"/>
    <w:bookmarkEnd w:id="3"/>
    <w:p w:rsidR="00A3679C" w:rsidRDefault="00AB6438" w:rsidP="00485A8D">
      <w:r>
        <w:object w:dxaOrig="9360" w:dyaOrig="3091">
          <v:shape id="_x0000_i1072" type="#_x0000_t75" style="width:468.3pt;height:154.35pt" o:ole="">
            <v:imagedata r:id="rId17" o:title=""/>
            <w10:bordertop type="threeDEngrave" width="24"/>
            <w10:borderleft type="threeDEngrave" width="24"/>
            <w10:borderbottom type="threeDEmboss" width="24"/>
            <w10:borderright type="threeDEmboss" width="24"/>
          </v:shape>
          <o:OLEObject Type="Embed" ProgID="Word.OpenDocumentText.12" ShapeID="_x0000_i1072" DrawAspect="Content" ObjectID="_1566509779" r:id="rId18"/>
        </w:object>
      </w:r>
    </w:p>
    <w:p w:rsidR="003B4E2B" w:rsidRDefault="003B4E2B" w:rsidP="003B4E2B">
      <w:pPr>
        <w:pStyle w:val="Heading3"/>
      </w:pPr>
      <w:r>
        <w:t>Totally Stubby Areas</w:t>
      </w:r>
    </w:p>
    <w:p w:rsidR="00445EB9" w:rsidRDefault="003B4E2B" w:rsidP="00D651FD">
      <w:r>
        <w:t>Totally stubby areas filter out all inter-area and external routes at the ABR, and instead redistribute a default route to the ABR.</w:t>
      </w:r>
      <w:r w:rsidR="00D651FD">
        <w:t xml:space="preserve"> Totally stubby areas filter out all Type 3, 4, and 5 LSAs, leaving you with an even smaller routing table.</w:t>
      </w:r>
    </w:p>
    <w:bookmarkStart w:id="4" w:name="_MON_1566508382"/>
    <w:bookmarkEnd w:id="4"/>
    <w:p w:rsidR="000D4FDF" w:rsidRDefault="000D4FDF" w:rsidP="003B4E2B">
      <w:r>
        <w:object w:dxaOrig="9360" w:dyaOrig="2834">
          <v:shape id="_x0000_i1076" type="#_x0000_t75" style="width:468.3pt;height:141.7pt" o:ole="" o:bordertopcolor="this" o:borderleftcolor="this" o:borderbottomcolor="this" o:borderrightcolor="this">
            <v:imagedata r:id="rId19" o:title=""/>
            <w10:bordertop type="threeDEngrave" width="24"/>
            <w10:borderleft type="threeDEngrave" width="24"/>
            <w10:borderbottom type="threeDEmboss" width="24"/>
            <w10:borderright type="threeDEmboss" width="24"/>
          </v:shape>
          <o:OLEObject Type="Embed" ProgID="Word.OpenDocumentText.12" ShapeID="_x0000_i1076" DrawAspect="Content" ObjectID="_1566509780" r:id="rId20"/>
        </w:object>
      </w:r>
    </w:p>
    <w:bookmarkStart w:id="5" w:name="_MON_1566508451"/>
    <w:bookmarkEnd w:id="5"/>
    <w:p w:rsidR="000D4FDF" w:rsidRDefault="000D4FDF" w:rsidP="003B4E2B">
      <w:r>
        <w:object w:dxaOrig="9360" w:dyaOrig="4122">
          <v:shape id="_x0000_i1080" type="#_x0000_t75" style="width:468.3pt;height:206.2pt" o:ole="" o:bordertopcolor="this" o:borderleftcolor="this" o:borderbottomcolor="this" o:borderrightcolor="this">
            <v:imagedata r:id="rId21" o:title=""/>
            <w10:bordertop type="threeDEngrave" width="24"/>
            <w10:borderleft type="threeDEngrave" width="24"/>
            <w10:borderbottom type="threeDEmboss" width="24"/>
            <w10:borderright type="threeDEmboss" width="24"/>
          </v:shape>
          <o:OLEObject Type="Embed" ProgID="Word.OpenDocumentText.12" ShapeID="_x0000_i1080" DrawAspect="Content" ObjectID="_1566509781" r:id="rId22"/>
        </w:object>
      </w:r>
    </w:p>
    <w:p w:rsidR="00543EF2" w:rsidRDefault="00543EF2" w:rsidP="00543EF2">
      <w:pPr>
        <w:pStyle w:val="Heading3"/>
      </w:pPr>
      <w:r>
        <w:t>Not-so-Stubby Area</w:t>
      </w:r>
      <w:r w:rsidR="0008663B" w:rsidRPr="0008663B">
        <w:t xml:space="preserve"> </w:t>
      </w:r>
      <w:r w:rsidR="0008663B">
        <w:t>(NSSA) and Totally Not-so-Stubby Area</w:t>
      </w:r>
      <w:r>
        <w:t xml:space="preserve"> (</w:t>
      </w:r>
      <w:r w:rsidR="0008663B">
        <w:t xml:space="preserve">Totally </w:t>
      </w:r>
      <w:r>
        <w:t>NSSA)</w:t>
      </w:r>
    </w:p>
    <w:p w:rsidR="00585F1B" w:rsidRDefault="00543EF2" w:rsidP="0008663B">
      <w:r>
        <w:t>Not-so-Stubby Areas (NSSAs)</w:t>
      </w:r>
      <w:r w:rsidR="0008663B">
        <w:t xml:space="preserve"> </w:t>
      </w:r>
      <w:r w:rsidR="0008663B" w:rsidRPr="0008663B">
        <w:t>and Totally Not-so-Stubby Area (Totally NSSA)</w:t>
      </w:r>
      <w:r>
        <w:t xml:space="preserve"> </w:t>
      </w:r>
      <w:r w:rsidR="00093E66">
        <w:t xml:space="preserve">are used when there needs to be an external route (another autonomous system) connected to a stubby </w:t>
      </w:r>
      <w:r w:rsidR="006D2AD5">
        <w:t>area</w:t>
      </w:r>
      <w:r w:rsidR="0008663B">
        <w:t xml:space="preserve"> or totally stubby area respectively</w:t>
      </w:r>
      <w:r w:rsidR="00C379B8">
        <w:t>.</w:t>
      </w:r>
      <w:r w:rsidR="007F768D">
        <w:t xml:space="preserve"> T</w:t>
      </w:r>
      <w:r w:rsidR="00763A5B">
        <w:t>he ASBR uses a t</w:t>
      </w:r>
      <w:r w:rsidR="007F768D">
        <w:t xml:space="preserve">ype 7 LSA to forward the external route throughout the </w:t>
      </w:r>
      <w:r w:rsidR="00763A5B">
        <w:t>NSSA, where there ABR converts it to a type 5 LSA to flood the rest of the autonomous system.</w:t>
      </w:r>
    </w:p>
    <w:p w:rsidR="000C110D" w:rsidRDefault="00DE3086" w:rsidP="0008663B">
      <w:r>
        <w:t xml:space="preserve">For these last examples, </w:t>
      </w:r>
      <w:r w:rsidR="000C110D">
        <w:t>another external route has been included in the topology.</w:t>
      </w:r>
    </w:p>
    <w:p w:rsidR="000C110D" w:rsidRDefault="000C110D" w:rsidP="0008663B">
      <w:pPr>
        <w:rPr>
          <w:noProof/>
        </w:rPr>
      </w:pPr>
    </w:p>
    <w:p w:rsidR="000C110D" w:rsidRPr="00543EF2" w:rsidRDefault="000C110D" w:rsidP="0008663B">
      <w:bookmarkStart w:id="6" w:name="_GoBack"/>
      <w:bookmarkEnd w:id="6"/>
      <w:r>
        <w:rPr>
          <w:noProof/>
        </w:rPr>
        <w:lastRenderedPageBreak/>
        <w:drawing>
          <wp:inline distT="0" distB="0" distL="0" distR="0">
            <wp:extent cx="5690997" cy="2932957"/>
            <wp:effectExtent l="0" t="0" r="5080" b="1270"/>
            <wp:docPr id="4" name="Picture 4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SSASpecialArea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0" t="12602" r="3642" b="7180"/>
                    <a:stretch/>
                  </pic:blipFill>
                  <pic:spPr bwMode="auto">
                    <a:xfrm>
                      <a:off x="0" y="0"/>
                      <a:ext cx="5692119" cy="293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A94" w:rsidRDefault="00C97A94" w:rsidP="005F1E59">
      <w:pPr>
        <w:pStyle w:val="Heading1"/>
      </w:pPr>
      <w:r>
        <w:t>Topology</w:t>
      </w:r>
    </w:p>
    <w:p w:rsidR="00C97A94" w:rsidRDefault="007F60A2" w:rsidP="009D6A25">
      <w:pPr>
        <w:jc w:val="center"/>
      </w:pPr>
      <w:r>
        <w:rPr>
          <w:noProof/>
        </w:rPr>
        <w:drawing>
          <wp:inline distT="0" distB="0" distL="0" distR="0">
            <wp:extent cx="5643429" cy="36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33" cy="37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3"/>
        <w:tblW w:w="0" w:type="auto"/>
        <w:tblInd w:w="-5" w:type="dxa"/>
        <w:tblLook w:val="04A0" w:firstRow="1" w:lastRow="0" w:firstColumn="1" w:lastColumn="0" w:noHBand="0" w:noVBand="1"/>
      </w:tblPr>
      <w:tblGrid>
        <w:gridCol w:w="2095"/>
        <w:gridCol w:w="1109"/>
        <w:gridCol w:w="1664"/>
        <w:gridCol w:w="1772"/>
        <w:gridCol w:w="2253"/>
        <w:gridCol w:w="803"/>
      </w:tblGrid>
      <w:tr w:rsidR="009D6A25" w:rsidRPr="00335FD6" w:rsidTr="009D6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Device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Interface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IPv4 Address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IPv6 Address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Connects To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Backbone1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Fa1/0/2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10.2.2.1/24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2001:2::1/64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5FD6">
              <w:t>StubABR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Fa1/0/3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10.3.3.1/24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2001:3::1/64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TotallyStubbyABR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Fa1/0/4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10.4.4.1/24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2001:4::1/64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NSSABR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Fa1/0/5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10.5.5.1/24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2001:5::1/64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TotallyNSSABR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StubABR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10.2.2.2/24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2001:2::2/64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172.16.2.1/24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2001:2:2::1/64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StubRouter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StubRouter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172.16.2.2/24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2001:2:2::2/64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5FD6">
              <w:t>StubABR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Lo2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192.168.2.1/32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2001:2:2:2::1/128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TotallyStubbyABR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10.3.3.2/24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2001:3::2/64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172.16.3.1/24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2001:3:3::1/64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TotallyStubbyRouter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TotallyStubbyRouter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172.16.3.2/24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2001:3:3::2/64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5FD6">
              <w:t>TotallyStubbyABR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Lo3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192.168.3.1/32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2001:3:3:3::1/128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NSSABR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10.4.4.2/24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2001:4::2/64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172.16.4.1/24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2001:4:4::1/64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NSSRouter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NSSRouter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172.16.4.2/24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2001:4:4::2/64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NSSABR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Lo4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192.168.4.1/32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2001:4:4:4::1/128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TotallyNSSABR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10.5.5.2/24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2001:5::2/64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172.16.5.1/24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2001:5:5::1/64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5FD6">
              <w:t>TotallyNSSRouter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proofErr w:type="spellStart"/>
            <w:r w:rsidRPr="00335FD6">
              <w:t>TotallyNSSRouter</w:t>
            </w:r>
            <w:proofErr w:type="spellEnd"/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172.16.5.2/24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2001:5:5::2/64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5FD6">
              <w:t>TotallyNSSABR</w:t>
            </w:r>
            <w:proofErr w:type="spellEnd"/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Lo5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192.168.5.1/32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2001:5:5:5::1/128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97A94" w:rsidRDefault="00C97A94" w:rsidP="00D51F13"/>
    <w:p w:rsidR="00B15BB2" w:rsidRDefault="00B15BB2" w:rsidP="005F1E59">
      <w:pPr>
        <w:pStyle w:val="Heading1"/>
      </w:pPr>
      <w:r>
        <w:t xml:space="preserve">Helpful </w:t>
      </w:r>
      <w:r w:rsidR="005F1E59">
        <w:t>Resources</w:t>
      </w:r>
    </w:p>
    <w:p w:rsidR="005F1E59" w:rsidRDefault="0092005B" w:rsidP="005F1E59">
      <w:r>
        <w:t xml:space="preserve">I choose to include this section because although content from these sources were never directly used in this report, </w:t>
      </w:r>
      <w:r w:rsidR="00A90259">
        <w:t>they</w:t>
      </w:r>
      <w:r>
        <w:t xml:space="preserve"> are exemplary resources relevant to this topic that I came across</w:t>
      </w:r>
      <w:r w:rsidR="00A90259">
        <w:t xml:space="preserve"> during my initial research.</w:t>
      </w:r>
    </w:p>
    <w:p w:rsidR="005F1E59" w:rsidRPr="005F1E59" w:rsidRDefault="005F1E59" w:rsidP="005F1E59">
      <w:pPr>
        <w:rPr>
          <w:b/>
          <w:i/>
        </w:rPr>
      </w:pPr>
      <w:r w:rsidRPr="005F1E59">
        <w:rPr>
          <w:b/>
        </w:rPr>
        <w:t xml:space="preserve">Jeremy </w:t>
      </w:r>
      <w:proofErr w:type="spellStart"/>
      <w:r w:rsidRPr="005F1E59">
        <w:rPr>
          <w:b/>
        </w:rPr>
        <w:t>Cioara</w:t>
      </w:r>
      <w:proofErr w:type="spellEnd"/>
      <w:r w:rsidRPr="005F1E59">
        <w:rPr>
          <w:b/>
        </w:rPr>
        <w:t xml:space="preserve">, CBP Nuggets. </w:t>
      </w:r>
      <w:proofErr w:type="spellStart"/>
      <w:r w:rsidRPr="005F1E59">
        <w:rPr>
          <w:b/>
          <w:i/>
        </w:rPr>
        <w:t>MicroNugget</w:t>
      </w:r>
      <w:proofErr w:type="spellEnd"/>
      <w:r w:rsidRPr="005F1E59">
        <w:rPr>
          <w:b/>
          <w:i/>
        </w:rPr>
        <w:t>: Key OSPF Areas and LSA Types</w:t>
      </w:r>
    </w:p>
    <w:p w:rsidR="005C1FF0" w:rsidRDefault="005F1E59" w:rsidP="005C1FF0">
      <w:pPr>
        <w:ind w:left="720"/>
      </w:pPr>
      <w:r>
        <w:t xml:space="preserve">Jeremy </w:t>
      </w:r>
      <w:proofErr w:type="spellStart"/>
      <w:r>
        <w:t>Cioara</w:t>
      </w:r>
      <w:proofErr w:type="spellEnd"/>
      <w:r>
        <w:t xml:space="preserve"> did a fantastic job explaining OSPF special areas and was able tie it right back into the LSA types relevant to each area type – the opposite direction other content has taken. Although he did not explain Totally NSSAs, this is where I would start when exploring special area types.</w:t>
      </w:r>
    </w:p>
    <w:p w:rsidR="00552AB9" w:rsidRDefault="00552AB9" w:rsidP="005C1FF0">
      <w:pPr>
        <w:ind w:left="720"/>
      </w:pPr>
    </w:p>
    <w:p w:rsidR="00552AB9" w:rsidRPr="004559DA" w:rsidRDefault="00552AB9" w:rsidP="004559DA">
      <w:pPr>
        <w:spacing w:line="240" w:lineRule="auto"/>
        <w:rPr>
          <w:b/>
        </w:rPr>
      </w:pPr>
      <w:r w:rsidRPr="004559DA">
        <w:rPr>
          <w:b/>
        </w:rPr>
        <w:t xml:space="preserve">Moy, J., "OSPF Version 2", RFC 1247, DOI 10.17487/RFC1247, July 1991, </w:t>
      </w:r>
    </w:p>
    <w:p w:rsidR="00552AB9" w:rsidRDefault="00552AB9" w:rsidP="004559DA">
      <w:pPr>
        <w:spacing w:line="240" w:lineRule="auto"/>
        <w:ind w:firstLine="720"/>
        <w:rPr>
          <w:b/>
        </w:rPr>
      </w:pPr>
      <w:r w:rsidRPr="004559DA">
        <w:rPr>
          <w:b/>
        </w:rPr>
        <w:t>&lt;https://www.rfc-editor.org/info/rfc1247&gt;.</w:t>
      </w:r>
    </w:p>
    <w:p w:rsidR="004559DA" w:rsidRPr="004559DA" w:rsidRDefault="004559DA" w:rsidP="00713136">
      <w:pPr>
        <w:spacing w:line="240" w:lineRule="auto"/>
        <w:ind w:left="720"/>
      </w:pPr>
      <w:r>
        <w:t>This is the blueprint for OSPF</w:t>
      </w:r>
      <w:r w:rsidR="00713136">
        <w:t>v2</w:t>
      </w:r>
      <w:r w:rsidR="00181535">
        <w:t xml:space="preserve">, a primary source. It </w:t>
      </w:r>
      <w:r w:rsidR="00713136">
        <w:t>is a very good place to reference if you have any questions about the OSPF protocol itself.</w:t>
      </w:r>
    </w:p>
    <w:sectPr w:rsidR="004559DA" w:rsidRPr="004559DA">
      <w:headerReference w:type="default" r:id="rId25"/>
      <w:footerReference w:type="even" r:id="rId26"/>
      <w:footerReference w:type="default" r:id="rId27"/>
      <w:headerReference w:type="first" r:id="rId28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3B4" w:rsidRDefault="000D03B4">
      <w:pPr>
        <w:spacing w:after="0" w:line="240" w:lineRule="auto"/>
      </w:pPr>
      <w:r>
        <w:separator/>
      </w:r>
    </w:p>
  </w:endnote>
  <w:endnote w:type="continuationSeparator" w:id="0">
    <w:p w:rsidR="000D03B4" w:rsidRDefault="000D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4B60DB">
    <w:pPr>
      <w:jc w:val="right"/>
    </w:pPr>
  </w:p>
  <w:p w:rsidR="004B60DB" w:rsidRDefault="002C3273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B60DB" w:rsidRDefault="002C327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="">
          <w:pict>
            <v:group w14:anchorId="5EFD72F9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4B60DB" w:rsidRDefault="004B60DB">
    <w:pPr>
      <w:pStyle w:val="NoSpacing"/>
      <w:rPr>
        <w:sz w:val="2"/>
        <w:szCs w:val="2"/>
      </w:rPr>
    </w:pPr>
  </w:p>
  <w:p w:rsidR="004B60DB" w:rsidRDefault="004B60DB"/>
  <w:p w:rsidR="004B60DB" w:rsidRDefault="004B60DB"/>
  <w:p w:rsidR="004B60DB" w:rsidRDefault="004B60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292999" w:rsidP="0047339B">
    <w:pPr>
      <w:tabs>
        <w:tab w:val="left" w:pos="720"/>
        <w:tab w:val="center" w:pos="5040"/>
      </w:tabs>
    </w:pPr>
    <w:r>
      <w:rPr>
        <w:color w:val="6076B4" w:themeColor="accent1"/>
      </w:rPr>
      <w:t>Wenger</w:t>
    </w:r>
    <w:r w:rsidR="0047339B">
      <w:rPr>
        <w:color w:val="6076B4" w:themeColor="accent1"/>
      </w:rPr>
      <w:tab/>
    </w:r>
    <w:r w:rsidR="002C3273">
      <w:rPr>
        <w:rFonts w:hint="eastAsia"/>
        <w:color w:val="6076B4" w:themeColor="accent1"/>
      </w:rPr>
      <w:fldChar w:fldCharType="begin"/>
    </w:r>
    <w:r w:rsidR="002C3273">
      <w:rPr>
        <w:rFonts w:hint="eastAsia"/>
        <w:color w:val="6076B4" w:themeColor="accent1"/>
      </w:rPr>
      <w:instrText xml:space="preserve"> </w:instrText>
    </w:r>
    <w:r w:rsidR="002C3273">
      <w:rPr>
        <w:color w:val="6076B4" w:themeColor="accent1"/>
      </w:rPr>
      <w:instrText>STYLEREF  "Heading 1"</w:instrText>
    </w:r>
    <w:r w:rsidR="002C3273">
      <w:rPr>
        <w:rFonts w:hint="eastAsia"/>
        <w:color w:val="6076B4" w:themeColor="accent1"/>
      </w:rPr>
      <w:instrText xml:space="preserve"> </w:instrText>
    </w:r>
    <w:r w:rsidR="002C3273">
      <w:rPr>
        <w:rFonts w:hint="eastAsia"/>
        <w:color w:val="6076B4" w:themeColor="accent1"/>
      </w:rPr>
      <w:fldChar w:fldCharType="separate"/>
    </w:r>
    <w:r w:rsidR="000C110D">
      <w:rPr>
        <w:noProof/>
        <w:color w:val="6076B4" w:themeColor="accent1"/>
      </w:rPr>
      <w:t>Background Information</w:t>
    </w:r>
    <w:r w:rsidR="002C3273">
      <w:rPr>
        <w:rFonts w:hint="eastAsia"/>
        <w:color w:val="6076B4" w:themeColor="accent1"/>
      </w:rPr>
      <w:fldChar w:fldCharType="end"/>
    </w:r>
    <w:r w:rsidR="002C3273">
      <w:rPr>
        <w:color w:val="6076B4" w:themeColor="accent1"/>
      </w:rPr>
      <w:t xml:space="preserve"> </w:t>
    </w:r>
    <w:r w:rsidR="002C3273">
      <w:rPr>
        <w:color w:val="6076B4" w:themeColor="accent1"/>
      </w:rPr>
      <w:sym w:font="Wingdings" w:char="F09F"/>
    </w:r>
    <w:r w:rsidR="002C3273">
      <w:rPr>
        <w:color w:val="6076B4" w:themeColor="accent1"/>
      </w:rPr>
      <w:t xml:space="preserve"> </w:t>
    </w:r>
    <w:r w:rsidR="002C3273">
      <w:rPr>
        <w:color w:val="6076B4" w:themeColor="accent1"/>
      </w:rPr>
      <w:fldChar w:fldCharType="begin"/>
    </w:r>
    <w:r w:rsidR="002C3273">
      <w:rPr>
        <w:color w:val="6076B4" w:themeColor="accent1"/>
      </w:rPr>
      <w:instrText xml:space="preserve"> PAGE  \* Arabic  \* MERGEFORMAT </w:instrText>
    </w:r>
    <w:r w:rsidR="002C3273">
      <w:rPr>
        <w:color w:val="6076B4" w:themeColor="accent1"/>
      </w:rPr>
      <w:fldChar w:fldCharType="separate"/>
    </w:r>
    <w:r w:rsidR="000C110D">
      <w:rPr>
        <w:noProof/>
        <w:color w:val="6076B4" w:themeColor="accent1"/>
      </w:rPr>
      <w:t>4</w:t>
    </w:r>
    <w:r w:rsidR="002C3273"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3B4" w:rsidRDefault="000D03B4">
      <w:pPr>
        <w:spacing w:after="0" w:line="240" w:lineRule="auto"/>
      </w:pPr>
      <w:r>
        <w:separator/>
      </w:r>
    </w:p>
  </w:footnote>
  <w:footnote w:type="continuationSeparator" w:id="0">
    <w:p w:rsidR="000D03B4" w:rsidRDefault="000D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47339B" w:rsidP="0047339B">
    <w:pPr>
      <w:tabs>
        <w:tab w:val="center" w:pos="5040"/>
        <w:tab w:val="right" w:pos="10080"/>
      </w:tabs>
      <w:spacing w:after="0"/>
      <w:rPr>
        <w:color w:val="E4E9EF" w:themeColor="background2"/>
      </w:rPr>
    </w:pPr>
    <w:r>
      <w:rPr>
        <w:color w:val="6076B4" w:themeColor="accent1"/>
      </w:rPr>
      <w:tab/>
    </w:r>
    <w:sdt>
      <w:sdtPr>
        <w:rPr>
          <w:color w:val="6076B4" w:themeColor="accent1"/>
        </w:rPr>
        <w:alias w:val="Title"/>
        <w:id w:val="-139649923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D03B4">
          <w:rPr>
            <w:color w:val="6076B4" w:themeColor="accent1"/>
          </w:rPr>
          <w:t>Multi-Area OSPF</w:t>
        </w:r>
      </w:sdtContent>
    </w:sdt>
    <w:r>
      <w:rPr>
        <w:color w:val="6076B4" w:themeColor="accent1"/>
      </w:rPr>
      <w:tab/>
    </w:r>
  </w:p>
  <w:p w:rsidR="004B60DB" w:rsidRDefault="002C327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39B" w:rsidRDefault="0047339B" w:rsidP="0047339B">
    <w:pPr>
      <w:pStyle w:val="Header"/>
      <w:jc w:val="right"/>
    </w:pPr>
    <w:r>
      <w:rPr>
        <w:color w:val="6076B4" w:themeColor="accent1"/>
      </w:rPr>
      <w:t>Maxwell Wenger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B4"/>
    <w:rsid w:val="0008589E"/>
    <w:rsid w:val="0008663B"/>
    <w:rsid w:val="00093E66"/>
    <w:rsid w:val="000C110D"/>
    <w:rsid w:val="000D03B4"/>
    <w:rsid w:val="000D4FDF"/>
    <w:rsid w:val="000E2D63"/>
    <w:rsid w:val="00113441"/>
    <w:rsid w:val="001330BF"/>
    <w:rsid w:val="00176492"/>
    <w:rsid w:val="001770B2"/>
    <w:rsid w:val="00181535"/>
    <w:rsid w:val="00185CD0"/>
    <w:rsid w:val="001B2C66"/>
    <w:rsid w:val="00263300"/>
    <w:rsid w:val="00292999"/>
    <w:rsid w:val="002A2C63"/>
    <w:rsid w:val="002C3273"/>
    <w:rsid w:val="00314B15"/>
    <w:rsid w:val="00335FD6"/>
    <w:rsid w:val="003B4E2B"/>
    <w:rsid w:val="003E3426"/>
    <w:rsid w:val="00445EB9"/>
    <w:rsid w:val="004559DA"/>
    <w:rsid w:val="0047339B"/>
    <w:rsid w:val="00485A8D"/>
    <w:rsid w:val="00486C6D"/>
    <w:rsid w:val="004A42CB"/>
    <w:rsid w:val="004B60DB"/>
    <w:rsid w:val="0050034B"/>
    <w:rsid w:val="00543EF2"/>
    <w:rsid w:val="00552AB9"/>
    <w:rsid w:val="00560DC7"/>
    <w:rsid w:val="00585F1B"/>
    <w:rsid w:val="005C1FF0"/>
    <w:rsid w:val="005C26EC"/>
    <w:rsid w:val="005E7F04"/>
    <w:rsid w:val="005F1E59"/>
    <w:rsid w:val="005F7445"/>
    <w:rsid w:val="00600AC2"/>
    <w:rsid w:val="006932E8"/>
    <w:rsid w:val="006A39F9"/>
    <w:rsid w:val="006D2AD5"/>
    <w:rsid w:val="007007DE"/>
    <w:rsid w:val="00713136"/>
    <w:rsid w:val="00763A5B"/>
    <w:rsid w:val="00773680"/>
    <w:rsid w:val="00777409"/>
    <w:rsid w:val="007B7D7F"/>
    <w:rsid w:val="007E1466"/>
    <w:rsid w:val="007F60A2"/>
    <w:rsid w:val="007F768D"/>
    <w:rsid w:val="00803F9D"/>
    <w:rsid w:val="00881FA9"/>
    <w:rsid w:val="008905B1"/>
    <w:rsid w:val="008F1778"/>
    <w:rsid w:val="009041E5"/>
    <w:rsid w:val="0092005B"/>
    <w:rsid w:val="00973E8A"/>
    <w:rsid w:val="009A17BD"/>
    <w:rsid w:val="009A201E"/>
    <w:rsid w:val="009C1135"/>
    <w:rsid w:val="009D6A25"/>
    <w:rsid w:val="009D7702"/>
    <w:rsid w:val="009E0C9B"/>
    <w:rsid w:val="00A341D8"/>
    <w:rsid w:val="00A3679C"/>
    <w:rsid w:val="00A90259"/>
    <w:rsid w:val="00AB6438"/>
    <w:rsid w:val="00B15BB2"/>
    <w:rsid w:val="00B36B29"/>
    <w:rsid w:val="00B80BB1"/>
    <w:rsid w:val="00B93115"/>
    <w:rsid w:val="00BC63DE"/>
    <w:rsid w:val="00BD6662"/>
    <w:rsid w:val="00C379B8"/>
    <w:rsid w:val="00C666FB"/>
    <w:rsid w:val="00C7568B"/>
    <w:rsid w:val="00C97A94"/>
    <w:rsid w:val="00CD4910"/>
    <w:rsid w:val="00CF5A90"/>
    <w:rsid w:val="00D07F51"/>
    <w:rsid w:val="00D13736"/>
    <w:rsid w:val="00D36B11"/>
    <w:rsid w:val="00D51F13"/>
    <w:rsid w:val="00D54E9C"/>
    <w:rsid w:val="00D649A2"/>
    <w:rsid w:val="00D651FD"/>
    <w:rsid w:val="00D676CE"/>
    <w:rsid w:val="00DC03FF"/>
    <w:rsid w:val="00DE3086"/>
    <w:rsid w:val="00DE5FBA"/>
    <w:rsid w:val="00DF0B75"/>
    <w:rsid w:val="00E10084"/>
    <w:rsid w:val="00E2535E"/>
    <w:rsid w:val="00E702E8"/>
    <w:rsid w:val="00E83438"/>
    <w:rsid w:val="00EB506C"/>
    <w:rsid w:val="00F10C7E"/>
    <w:rsid w:val="00F12845"/>
    <w:rsid w:val="00F46764"/>
    <w:rsid w:val="00F95B76"/>
    <w:rsid w:val="00FB355E"/>
    <w:rsid w:val="00FE691D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D4E46E0"/>
  <w15:docId w15:val="{74E1E447-EEF5-4A1A-9DEE-D8272F1F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sid w:val="009D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5F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D6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2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73E7249024363B75D339D1E398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C576-0C6A-456F-B71D-D70545D56FE5}"/>
      </w:docPartPr>
      <w:docPartBody>
        <w:p w:rsidR="007F57FC" w:rsidRDefault="00825E84">
          <w:pPr>
            <w:pStyle w:val="04F73E7249024363B75D339D1E3986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AEE0CB164941788BC17A2AFE4EF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72F60-54AD-429D-ADF9-263A2E6CF918}"/>
      </w:docPartPr>
      <w:docPartBody>
        <w:p w:rsidR="007F57FC" w:rsidRDefault="00825E84">
          <w:pPr>
            <w:pStyle w:val="CEAEE0CB164941788BC17A2AFE4EFC3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84"/>
    <w:rsid w:val="007F57FC"/>
    <w:rsid w:val="008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73E7249024363B75D339D1E398697">
    <w:name w:val="04F73E7249024363B75D339D1E398697"/>
  </w:style>
  <w:style w:type="paragraph" w:customStyle="1" w:styleId="CEAEE0CB164941788BC17A2AFE4EFC34">
    <w:name w:val="CEAEE0CB164941788BC17A2AFE4EFC34"/>
  </w:style>
  <w:style w:type="paragraph" w:customStyle="1" w:styleId="164845108BBA43A69EBC8901F5A831D1">
    <w:name w:val="164845108BBA43A69EBC8901F5A831D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A1754780E2D49599BAE7331A06E8680">
    <w:name w:val="1A1754780E2D49599BAE7331A06E8680"/>
  </w:style>
  <w:style w:type="paragraph" w:customStyle="1" w:styleId="B9EDA1B41F5C4EC19AA7D1C54A60ACF2">
    <w:name w:val="B9EDA1B41F5C4EC19AA7D1C54A60ACF2"/>
    <w:rsid w:val="00825E84"/>
  </w:style>
  <w:style w:type="paragraph" w:customStyle="1" w:styleId="2EF5236110814552981FBF6899B6B5CA">
    <w:name w:val="2EF5236110814552981FBF6899B6B5CA"/>
    <w:rsid w:val="00825E84"/>
  </w:style>
  <w:style w:type="paragraph" w:customStyle="1" w:styleId="0BBDB0815AB14A71BC9F4A3713BA4847">
    <w:name w:val="0BBDB0815AB14A71BC9F4A3713BA4847"/>
    <w:rsid w:val="00825E84"/>
  </w:style>
  <w:style w:type="paragraph" w:customStyle="1" w:styleId="DE796DEE5C63424A936378CEF26E4253">
    <w:name w:val="DE796DEE5C63424A936378CEF26E4253"/>
    <w:rsid w:val="00825E84"/>
  </w:style>
  <w:style w:type="paragraph" w:customStyle="1" w:styleId="F65AD9B91A264C5486724E6B0C40BA79">
    <w:name w:val="F65AD9B91A264C5486724E6B0C40BA79"/>
    <w:rsid w:val="00825E84"/>
  </w:style>
  <w:style w:type="paragraph" w:customStyle="1" w:styleId="5EB987CA6FBA4B26A55D213D2BCD5167">
    <w:name w:val="5EB987CA6FBA4B26A55D213D2BCD5167"/>
    <w:rsid w:val="00825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lab is designed to explore the optimization and encapsulation of OSPF areas through the use of Stub, Totally Stubby, Not-So-Stubby, and Totally Not-So-Stubby networks.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5E7A9E-BF7F-4D2E-9049-3D923E983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556</TotalTime>
  <Pages>8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Multi-Area OSPF</vt:lpstr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Multi-Area OSPF</dc:title>
  <dc:subject>Optimizing Large Networks with Special OSPF Areas</dc:subject>
  <dc:creator>cisco</dc:creator>
  <cp:keywords/>
  <cp:lastModifiedBy>Max</cp:lastModifiedBy>
  <cp:revision>75</cp:revision>
  <cp:lastPrinted>2009-08-05T20:41:00Z</cp:lastPrinted>
  <dcterms:created xsi:type="dcterms:W3CDTF">2017-09-07T20:27:00Z</dcterms:created>
  <dcterms:modified xsi:type="dcterms:W3CDTF">2017-09-10T07:49:00Z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