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4B60DB" w:rsidRDefault="004B60DB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B60DB" w:rsidTr="000D03B4">
            <w:tc>
              <w:tcPr>
                <w:tcW w:w="9804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04F73E7249024363B75D339D1E3986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B60DB" w:rsidRDefault="000D03B4" w:rsidP="000D03B4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Multi-Area OSPF</w:t>
                    </w:r>
                  </w:p>
                </w:sdtContent>
              </w:sdt>
            </w:tc>
          </w:tr>
          <w:tr w:rsidR="004B60DB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CEAEE0CB164941788BC17A2AFE4EFC3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4B60DB" w:rsidRDefault="00E2535E" w:rsidP="000D03B4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Optimizing Large Networks with Special OSPF Areas</w:t>
                    </w:r>
                  </w:p>
                </w:sdtContent>
              </w:sdt>
            </w:tc>
          </w:tr>
          <w:tr w:rsidR="004B60DB">
            <w:tc>
              <w:tcPr>
                <w:tcW w:w="0" w:type="auto"/>
                <w:vAlign w:val="bottom"/>
              </w:tcPr>
              <w:p w:rsidR="004B60DB" w:rsidRDefault="004B60DB"/>
            </w:tc>
          </w:tr>
          <w:tr w:rsidR="004B60DB">
            <w:tc>
              <w:tcPr>
                <w:tcW w:w="0" w:type="auto"/>
                <w:vAlign w:val="bottom"/>
              </w:tcPr>
              <w:p w:rsidR="004B60DB" w:rsidRDefault="004B60DB" w:rsidP="000D03B4"/>
            </w:tc>
          </w:tr>
        </w:tbl>
        <w:p w:rsidR="004B60DB" w:rsidRDefault="002C327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itle"/>
        <w:id w:val="598529223"/>
        <w:placeholder>
          <w:docPart w:val="04F73E7249024363B75D339D1E3986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B60DB" w:rsidRDefault="000D03B4">
          <w:pPr>
            <w:pStyle w:val="Title"/>
          </w:pPr>
          <w:r>
            <w:t>Multi-Area OSPF</w:t>
          </w:r>
        </w:p>
      </w:sdtContent>
    </w:sdt>
    <w:p w:rsidR="004B60DB" w:rsidRDefault="009E0C9B">
      <w:pPr>
        <w:pStyle w:val="Subtitle"/>
      </w:pPr>
      <w:sdt>
        <w:sdtPr>
          <w:alias w:val="Subtitle"/>
          <w:id w:val="-723052804"/>
          <w:placeholder>
            <w:docPart w:val="CEAEE0CB164941788BC17A2AFE4EFC3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2535E">
            <w:t>Optimizing Large Networks with Special OSPF Areas</w:t>
          </w:r>
        </w:sdtContent>
      </w:sdt>
    </w:p>
    <w:p w:rsidR="009A201E" w:rsidRDefault="009A201E" w:rsidP="00486C6D">
      <w:pPr>
        <w:pStyle w:val="Heading1"/>
      </w:pPr>
      <w:r w:rsidRPr="009A201E">
        <w:t>Purpos</w:t>
      </w:r>
      <w:r w:rsidR="00D13736">
        <w:t>e</w:t>
      </w:r>
    </w:p>
    <w:p w:rsidR="00486C6D" w:rsidRPr="00486C6D" w:rsidRDefault="00486C6D" w:rsidP="00486C6D">
      <w:r>
        <w:t xml:space="preserve">This document outlines the use of Special OSPF Areas to optimize convergence time and </w:t>
      </w:r>
      <w:r w:rsidR="00D54E9C">
        <w:t>Queuing delay</w:t>
      </w:r>
      <w:r>
        <w:t xml:space="preserve"> in large networks.</w:t>
      </w:r>
    </w:p>
    <w:p w:rsidR="00D676CE" w:rsidRDefault="009A201E" w:rsidP="00BD6662">
      <w:pPr>
        <w:pStyle w:val="Heading1"/>
      </w:pPr>
      <w:r>
        <w:t>Background Information</w:t>
      </w:r>
    </w:p>
    <w:p w:rsidR="00D649A2" w:rsidRDefault="00176492" w:rsidP="00D649A2">
      <w:r>
        <w:t>Open Shortest Path</w:t>
      </w:r>
      <w:r w:rsidR="00C666FB">
        <w:t xml:space="preserve"> First</w:t>
      </w:r>
      <w:r>
        <w:t xml:space="preserve"> (</w:t>
      </w:r>
      <w:r w:rsidR="00B93115">
        <w:t>OSPF</w:t>
      </w:r>
      <w:r>
        <w:t>)</w:t>
      </w:r>
      <w:r w:rsidR="00B93115">
        <w:t xml:space="preserve"> is </w:t>
      </w:r>
      <w:r w:rsidR="00DF0B75">
        <w:t>an open standard</w:t>
      </w:r>
      <w:r w:rsidR="00B93115">
        <w:t xml:space="preserve"> link state routing protocol that uses cost as a metric to </w:t>
      </w:r>
      <w:r w:rsidR="006932E8">
        <w:t>determine the shortest path to the destination network. OSPF can divide logical groups of routers into “Areas”</w:t>
      </w:r>
      <w:r w:rsidR="00E10084">
        <w:t xml:space="preserve">. Routers </w:t>
      </w:r>
      <w:r w:rsidR="006932E8">
        <w:t xml:space="preserve">must only maintain </w:t>
      </w:r>
      <w:r w:rsidR="007E1466">
        <w:t xml:space="preserve">the topology information </w:t>
      </w:r>
      <w:r w:rsidR="006932E8">
        <w:t>of the</w:t>
      </w:r>
      <w:r w:rsidR="007E1466">
        <w:t xml:space="preserve"> other</w:t>
      </w:r>
      <w:r w:rsidR="006932E8">
        <w:t xml:space="preserve"> routers in </w:t>
      </w:r>
      <w:r w:rsidR="00E10084">
        <w:t>their common area</w:t>
      </w:r>
      <w:r w:rsidR="006932E8">
        <w:t>.</w:t>
      </w:r>
      <w:r w:rsidR="00E10084">
        <w:t xml:space="preserve"> The use of many areas in a network topology, </w:t>
      </w:r>
      <w:r w:rsidR="00314B15">
        <w:t xml:space="preserve">or </w:t>
      </w:r>
      <w:r w:rsidR="00486C6D">
        <w:t>Multi-Area OSPF</w:t>
      </w:r>
      <w:r w:rsidR="00E10084">
        <w:t>,</w:t>
      </w:r>
      <w:r w:rsidR="00486C6D">
        <w:t xml:space="preserve"> is a design technique that aids in the maintainability and scalability </w:t>
      </w:r>
      <w:r w:rsidR="001330BF">
        <w:t>of</w:t>
      </w:r>
      <w:r w:rsidR="00314B15">
        <w:t xml:space="preserve"> larg</w:t>
      </w:r>
      <w:r w:rsidR="007E1466">
        <w:t xml:space="preserve">e networks. Routing between different areas are done through an Area Border Router (ABR) that connects a given area and the backbone area. The backbone area is a special area type that must have an area number of </w:t>
      </w:r>
      <w:r w:rsidR="00600AC2">
        <w:t>zero</w:t>
      </w:r>
      <w:r w:rsidR="007E1466">
        <w:t xml:space="preserve"> and connects all areas</w:t>
      </w:r>
      <w:r w:rsidR="001330BF">
        <w:t xml:space="preserve"> in the topology</w:t>
      </w:r>
      <w:r w:rsidR="007E1466">
        <w:t xml:space="preserve">. The backbone area is where all </w:t>
      </w:r>
      <w:r w:rsidR="001B2C66">
        <w:t>inter</w:t>
      </w:r>
      <w:r w:rsidR="007E1466">
        <w:t>-area traffic must travel through.</w:t>
      </w:r>
    </w:p>
    <w:p w:rsidR="00BD6662" w:rsidRDefault="00BD6662" w:rsidP="00BD6662">
      <w:pPr>
        <w:pStyle w:val="Heading2"/>
      </w:pPr>
      <w:r>
        <w:t>Link State Advertisements</w:t>
      </w:r>
    </w:p>
    <w:p w:rsidR="00BD6662" w:rsidRDefault="00BD6662" w:rsidP="00BD6662">
      <w:r>
        <w:t xml:space="preserve">Link State Advertisements (LSAs) is the mechanism routers use to communicate link state information. </w:t>
      </w:r>
      <w:r w:rsidR="000E2D63">
        <w:t>A collection of LSAs form the LSDB, which then forms the shortest path tree</w:t>
      </w:r>
      <w:r w:rsidR="00F95B76">
        <w:t>, which forms the routing table</w:t>
      </w:r>
      <w:r w:rsidR="00DE5FBA">
        <w:t xml:space="preserve">. There are 8 LSA Types, each </w:t>
      </w:r>
      <w:r w:rsidR="007B7D7F">
        <w:t>describe a different part of the routing domain</w:t>
      </w:r>
      <w:r w:rsidR="00DE5FBA">
        <w:t>.</w:t>
      </w:r>
    </w:p>
    <w:tbl>
      <w:tblPr>
        <w:tblStyle w:val="TableGrid"/>
        <w:tblW w:w="10184" w:type="dxa"/>
        <w:tblLook w:val="04A0" w:firstRow="1" w:lastRow="0" w:firstColumn="1" w:lastColumn="0" w:noHBand="0" w:noVBand="1"/>
      </w:tblPr>
      <w:tblGrid>
        <w:gridCol w:w="1218"/>
        <w:gridCol w:w="1888"/>
        <w:gridCol w:w="2006"/>
        <w:gridCol w:w="5072"/>
      </w:tblGrid>
      <w:tr w:rsidR="00E83438" w:rsidTr="00E83438">
        <w:trPr>
          <w:trHeight w:val="240"/>
        </w:trPr>
        <w:tc>
          <w:tcPr>
            <w:tcW w:w="1218" w:type="dxa"/>
          </w:tcPr>
          <w:p w:rsidR="009C1135" w:rsidRDefault="009C1135" w:rsidP="009C1135">
            <w:r>
              <w:t>LSA Type</w:t>
            </w:r>
          </w:p>
        </w:tc>
        <w:tc>
          <w:tcPr>
            <w:tcW w:w="1888" w:type="dxa"/>
          </w:tcPr>
          <w:p w:rsidR="009C1135" w:rsidRDefault="00E83438" w:rsidP="009C1135">
            <w:r>
              <w:t xml:space="preserve">LSA </w:t>
            </w:r>
            <w:r w:rsidR="009C1135">
              <w:t>Name</w:t>
            </w:r>
          </w:p>
        </w:tc>
        <w:tc>
          <w:tcPr>
            <w:tcW w:w="2006" w:type="dxa"/>
          </w:tcPr>
          <w:p w:rsidR="009C1135" w:rsidRDefault="009C1135" w:rsidP="009C1135">
            <w:pPr>
              <w:jc w:val="center"/>
            </w:pPr>
            <w:r>
              <w:t>Link-State</w:t>
            </w:r>
            <w:r>
              <w:t xml:space="preserve"> ID</w:t>
            </w:r>
          </w:p>
        </w:tc>
        <w:tc>
          <w:tcPr>
            <w:tcW w:w="5072" w:type="dxa"/>
          </w:tcPr>
          <w:p w:rsidR="009C1135" w:rsidRDefault="009C1135" w:rsidP="009C1135">
            <w:r>
              <w:t>Description</w:t>
            </w:r>
          </w:p>
        </w:tc>
      </w:tr>
      <w:tr w:rsidR="00E83438" w:rsidTr="00E83438">
        <w:trPr>
          <w:trHeight w:val="566"/>
        </w:trPr>
        <w:tc>
          <w:tcPr>
            <w:tcW w:w="1218" w:type="dxa"/>
          </w:tcPr>
          <w:p w:rsidR="009C1135" w:rsidRDefault="009C1135" w:rsidP="009C1135">
            <w:r>
              <w:t>1</w:t>
            </w:r>
          </w:p>
        </w:tc>
        <w:tc>
          <w:tcPr>
            <w:tcW w:w="1888" w:type="dxa"/>
          </w:tcPr>
          <w:p w:rsidR="009C1135" w:rsidRDefault="00E83438" w:rsidP="009C1135">
            <w:r>
              <w:t>Router</w:t>
            </w:r>
          </w:p>
        </w:tc>
        <w:tc>
          <w:tcPr>
            <w:tcW w:w="2006" w:type="dxa"/>
          </w:tcPr>
          <w:p w:rsidR="009C1135" w:rsidRDefault="009C1135" w:rsidP="009C1135">
            <w:r>
              <w:t>Router ID</w:t>
            </w:r>
          </w:p>
        </w:tc>
        <w:tc>
          <w:tcPr>
            <w:tcW w:w="5072" w:type="dxa"/>
          </w:tcPr>
          <w:p w:rsidR="009C1135" w:rsidRDefault="009C1135" w:rsidP="009C1135">
            <w:r>
              <w:t xml:space="preserve">Every router participating in OSPF will flood its area with a single Router LSA to describes the </w:t>
            </w:r>
            <w:r w:rsidRPr="00777409">
              <w:t>state</w:t>
            </w:r>
            <w:r>
              <w:t xml:space="preserve"> and </w:t>
            </w:r>
            <w:r w:rsidRPr="00777409">
              <w:t>cost</w:t>
            </w:r>
            <w:r>
              <w:t xml:space="preserve"> of all the router’s OSPF participating links.</w:t>
            </w:r>
          </w:p>
        </w:tc>
      </w:tr>
      <w:tr w:rsidR="00E83438" w:rsidTr="00E83438">
        <w:trPr>
          <w:trHeight w:val="230"/>
        </w:trPr>
        <w:tc>
          <w:tcPr>
            <w:tcW w:w="1218" w:type="dxa"/>
          </w:tcPr>
          <w:p w:rsidR="009C1135" w:rsidRDefault="009C1135" w:rsidP="009C1135">
            <w:r>
              <w:t>2</w:t>
            </w:r>
          </w:p>
        </w:tc>
        <w:tc>
          <w:tcPr>
            <w:tcW w:w="1888" w:type="dxa"/>
          </w:tcPr>
          <w:p w:rsidR="009C1135" w:rsidRDefault="009C1135" w:rsidP="009C1135">
            <w:r>
              <w:t xml:space="preserve">Network </w:t>
            </w:r>
          </w:p>
        </w:tc>
        <w:tc>
          <w:tcPr>
            <w:tcW w:w="2006" w:type="dxa"/>
          </w:tcPr>
          <w:p w:rsidR="009C1135" w:rsidRDefault="009C1135" w:rsidP="009C1135">
            <w:r>
              <w:t>DR’s IP address</w:t>
            </w:r>
          </w:p>
        </w:tc>
        <w:tc>
          <w:tcPr>
            <w:tcW w:w="5072" w:type="dxa"/>
          </w:tcPr>
          <w:p w:rsidR="009C1135" w:rsidRDefault="009A17BD" w:rsidP="009C1135">
            <w:r>
              <w:t>The Designated R</w:t>
            </w:r>
            <w:r w:rsidR="009C1135">
              <w:t>outer</w:t>
            </w:r>
            <w:r>
              <w:t xml:space="preserve"> (DR)</w:t>
            </w:r>
            <w:r w:rsidR="009C1135">
              <w:t xml:space="preserve"> will describe all attached routers, including itself.</w:t>
            </w:r>
          </w:p>
        </w:tc>
      </w:tr>
      <w:tr w:rsidR="00E83438" w:rsidTr="00E83438">
        <w:trPr>
          <w:trHeight w:val="230"/>
        </w:trPr>
        <w:tc>
          <w:tcPr>
            <w:tcW w:w="1218" w:type="dxa"/>
          </w:tcPr>
          <w:p w:rsidR="009C1135" w:rsidRDefault="009C1135" w:rsidP="009C1135">
            <w:r>
              <w:t>3</w:t>
            </w:r>
          </w:p>
        </w:tc>
        <w:tc>
          <w:tcPr>
            <w:tcW w:w="1888" w:type="dxa"/>
          </w:tcPr>
          <w:p w:rsidR="009C1135" w:rsidRDefault="00E83438" w:rsidP="009C1135">
            <w:r>
              <w:t xml:space="preserve">Network </w:t>
            </w:r>
            <w:r w:rsidR="009A17BD">
              <w:t xml:space="preserve">Summary </w:t>
            </w:r>
          </w:p>
        </w:tc>
        <w:tc>
          <w:tcPr>
            <w:tcW w:w="2006" w:type="dxa"/>
          </w:tcPr>
          <w:p w:rsidR="009C1135" w:rsidRDefault="003E3426" w:rsidP="009C1135">
            <w:r>
              <w:t>Network Number</w:t>
            </w:r>
          </w:p>
        </w:tc>
        <w:tc>
          <w:tcPr>
            <w:tcW w:w="5072" w:type="dxa"/>
          </w:tcPr>
          <w:p w:rsidR="009C1135" w:rsidRDefault="009A17BD" w:rsidP="009C1135">
            <w:r>
              <w:t>Area Border Router (ABR) describes inter-area destinations.</w:t>
            </w:r>
          </w:p>
        </w:tc>
      </w:tr>
      <w:tr w:rsidR="00E83438" w:rsidTr="00E83438">
        <w:trPr>
          <w:trHeight w:val="230"/>
        </w:trPr>
        <w:tc>
          <w:tcPr>
            <w:tcW w:w="1218" w:type="dxa"/>
          </w:tcPr>
          <w:p w:rsidR="003E3426" w:rsidRDefault="003E3426" w:rsidP="009C1135">
            <w:r>
              <w:t>4</w:t>
            </w:r>
          </w:p>
        </w:tc>
        <w:tc>
          <w:tcPr>
            <w:tcW w:w="1888" w:type="dxa"/>
          </w:tcPr>
          <w:p w:rsidR="003E3426" w:rsidRDefault="00E83438" w:rsidP="009C1135">
            <w:r>
              <w:t xml:space="preserve">ASBR </w:t>
            </w:r>
            <w:r w:rsidR="003E3426">
              <w:t xml:space="preserve">Summary </w:t>
            </w:r>
          </w:p>
        </w:tc>
        <w:tc>
          <w:tcPr>
            <w:tcW w:w="2006" w:type="dxa"/>
          </w:tcPr>
          <w:p w:rsidR="003E3426" w:rsidRDefault="003E3426" w:rsidP="009C1135">
            <w:r>
              <w:t>OSBR</w:t>
            </w:r>
            <w:r>
              <w:t xml:space="preserve"> </w:t>
            </w:r>
            <w:r w:rsidR="002A2C63">
              <w:t>Router</w:t>
            </w:r>
            <w:r>
              <w:t xml:space="preserve"> ID</w:t>
            </w:r>
          </w:p>
        </w:tc>
        <w:tc>
          <w:tcPr>
            <w:tcW w:w="5072" w:type="dxa"/>
          </w:tcPr>
          <w:p w:rsidR="003E3426" w:rsidRDefault="003E3426" w:rsidP="009C1135">
            <w:r>
              <w:t>Area Border Router (ABR) describes inter-area destinations</w:t>
            </w:r>
            <w:r>
              <w:t xml:space="preserve"> to a AS boundary router (ASBR)</w:t>
            </w:r>
            <w:r>
              <w:t>.</w:t>
            </w:r>
          </w:p>
        </w:tc>
      </w:tr>
    </w:tbl>
    <w:p w:rsidR="007B7D7F" w:rsidRPr="007B7D7F" w:rsidRDefault="007B7D7F" w:rsidP="007B7D7F">
      <w:bookmarkStart w:id="0" w:name="_GoBack"/>
      <w:bookmarkEnd w:id="0"/>
    </w:p>
    <w:sectPr w:rsidR="007B7D7F" w:rsidRPr="007B7D7F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3B4" w:rsidRDefault="000D03B4">
      <w:pPr>
        <w:spacing w:after="0" w:line="240" w:lineRule="auto"/>
      </w:pPr>
      <w:r>
        <w:separator/>
      </w:r>
    </w:p>
  </w:endnote>
  <w:endnote w:type="continuationSeparator" w:id="0">
    <w:p w:rsidR="000D03B4" w:rsidRDefault="000D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4B60DB">
    <w:pPr>
      <w:jc w:val="right"/>
    </w:pPr>
  </w:p>
  <w:p w:rsidR="004B60DB" w:rsidRDefault="002C3273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4B60DB" w:rsidRDefault="002C327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EFD72F9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4B60DB" w:rsidRDefault="004B60DB">
    <w:pPr>
      <w:pStyle w:val="NoSpacing"/>
      <w:rPr>
        <w:sz w:val="2"/>
        <w:szCs w:val="2"/>
      </w:rPr>
    </w:pPr>
  </w:p>
  <w:p w:rsidR="004B60DB" w:rsidRDefault="004B60DB"/>
  <w:p w:rsidR="004B60DB" w:rsidRDefault="004B60DB"/>
  <w:p w:rsidR="004B60DB" w:rsidRDefault="004B60D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2C3273">
    <w:pPr>
      <w:jc w:val="center"/>
    </w:pPr>
    <w:r>
      <w:rPr>
        <w:rFonts w:hint="eastAsia"/>
        <w:color w:val="6076B4" w:themeColor="accent1"/>
      </w:rPr>
      <w:fldChar w:fldCharType="begin"/>
    </w:r>
    <w:r>
      <w:rPr>
        <w:rFonts w:hint="eastAsia"/>
        <w:color w:val="6076B4" w:themeColor="accent1"/>
      </w:rPr>
      <w:instrText xml:space="preserve"> </w:instrText>
    </w:r>
    <w:r>
      <w:rPr>
        <w:color w:val="6076B4" w:themeColor="accent1"/>
      </w:rPr>
      <w:instrText>STYLEREF  "Heading 1"</w:instrText>
    </w:r>
    <w:r>
      <w:rPr>
        <w:rFonts w:hint="eastAsia"/>
        <w:color w:val="6076B4" w:themeColor="accent1"/>
      </w:rPr>
      <w:instrText xml:space="preserve"> </w:instrText>
    </w:r>
    <w:r>
      <w:rPr>
        <w:rFonts w:hint="eastAsia"/>
        <w:color w:val="6076B4" w:themeColor="accent1"/>
      </w:rPr>
      <w:fldChar w:fldCharType="separate"/>
    </w:r>
    <w:r w:rsidR="009E0C9B">
      <w:rPr>
        <w:noProof/>
        <w:color w:val="6076B4" w:themeColor="accent1"/>
      </w:rPr>
      <w:t>Purpose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9E0C9B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3B4" w:rsidRDefault="000D03B4">
      <w:pPr>
        <w:spacing w:after="0" w:line="240" w:lineRule="auto"/>
      </w:pPr>
      <w:r>
        <w:separator/>
      </w:r>
    </w:p>
  </w:footnote>
  <w:footnote w:type="continuationSeparator" w:id="0">
    <w:p w:rsidR="000D03B4" w:rsidRDefault="000D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B60DB" w:rsidRDefault="000D03B4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Multi-Area OSPF</w:t>
        </w:r>
      </w:p>
    </w:sdtContent>
  </w:sdt>
  <w:p w:rsidR="004B60DB" w:rsidRDefault="002C327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B4"/>
    <w:rsid w:val="000D03B4"/>
    <w:rsid w:val="000E2D63"/>
    <w:rsid w:val="001330BF"/>
    <w:rsid w:val="00176492"/>
    <w:rsid w:val="00185CD0"/>
    <w:rsid w:val="001B2C66"/>
    <w:rsid w:val="00263300"/>
    <w:rsid w:val="002A2C63"/>
    <w:rsid w:val="002C3273"/>
    <w:rsid w:val="00314B15"/>
    <w:rsid w:val="003E3426"/>
    <w:rsid w:val="00486C6D"/>
    <w:rsid w:val="004B60DB"/>
    <w:rsid w:val="00560DC7"/>
    <w:rsid w:val="005C26EC"/>
    <w:rsid w:val="005E7F04"/>
    <w:rsid w:val="005F7445"/>
    <w:rsid w:val="00600AC2"/>
    <w:rsid w:val="006932E8"/>
    <w:rsid w:val="00773680"/>
    <w:rsid w:val="00777409"/>
    <w:rsid w:val="007B7D7F"/>
    <w:rsid w:val="007E1466"/>
    <w:rsid w:val="00881FA9"/>
    <w:rsid w:val="009041E5"/>
    <w:rsid w:val="00973E8A"/>
    <w:rsid w:val="009A17BD"/>
    <w:rsid w:val="009A201E"/>
    <w:rsid w:val="009C1135"/>
    <w:rsid w:val="009D7702"/>
    <w:rsid w:val="009E0C9B"/>
    <w:rsid w:val="00A341D8"/>
    <w:rsid w:val="00B36B29"/>
    <w:rsid w:val="00B80BB1"/>
    <w:rsid w:val="00B93115"/>
    <w:rsid w:val="00BD6662"/>
    <w:rsid w:val="00C666FB"/>
    <w:rsid w:val="00CD4910"/>
    <w:rsid w:val="00D13736"/>
    <w:rsid w:val="00D36B11"/>
    <w:rsid w:val="00D54E9C"/>
    <w:rsid w:val="00D649A2"/>
    <w:rsid w:val="00D676CE"/>
    <w:rsid w:val="00DC03FF"/>
    <w:rsid w:val="00DE5FBA"/>
    <w:rsid w:val="00DF0B75"/>
    <w:rsid w:val="00E10084"/>
    <w:rsid w:val="00E2535E"/>
    <w:rsid w:val="00E702E8"/>
    <w:rsid w:val="00E83438"/>
    <w:rsid w:val="00F95B76"/>
    <w:rsid w:val="00FE691D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D06DFB6"/>
  <w15:docId w15:val="{74E1E447-EEF5-4A1A-9DEE-D8272F1F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rsid w:val="009D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73E7249024363B75D339D1E398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C576-0C6A-456F-B71D-D70545D56FE5}"/>
      </w:docPartPr>
      <w:docPartBody>
        <w:p w:rsidR="007F57FC" w:rsidRDefault="00825E84">
          <w:pPr>
            <w:pStyle w:val="04F73E7249024363B75D339D1E39869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EAEE0CB164941788BC17A2AFE4EF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72F60-54AD-429D-ADF9-263A2E6CF918}"/>
      </w:docPartPr>
      <w:docPartBody>
        <w:p w:rsidR="007F57FC" w:rsidRDefault="00825E84">
          <w:pPr>
            <w:pStyle w:val="CEAEE0CB164941788BC17A2AFE4EFC3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84"/>
    <w:rsid w:val="007F57FC"/>
    <w:rsid w:val="008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73E7249024363B75D339D1E398697">
    <w:name w:val="04F73E7249024363B75D339D1E398697"/>
  </w:style>
  <w:style w:type="paragraph" w:customStyle="1" w:styleId="CEAEE0CB164941788BC17A2AFE4EFC34">
    <w:name w:val="CEAEE0CB164941788BC17A2AFE4EFC34"/>
  </w:style>
  <w:style w:type="paragraph" w:customStyle="1" w:styleId="164845108BBA43A69EBC8901F5A831D1">
    <w:name w:val="164845108BBA43A69EBC8901F5A831D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A1754780E2D49599BAE7331A06E8680">
    <w:name w:val="1A1754780E2D49599BAE7331A06E8680"/>
  </w:style>
  <w:style w:type="paragraph" w:customStyle="1" w:styleId="B9EDA1B41F5C4EC19AA7D1C54A60ACF2">
    <w:name w:val="B9EDA1B41F5C4EC19AA7D1C54A60ACF2"/>
    <w:rsid w:val="00825E84"/>
  </w:style>
  <w:style w:type="paragraph" w:customStyle="1" w:styleId="2EF5236110814552981FBF6899B6B5CA">
    <w:name w:val="2EF5236110814552981FBF6899B6B5CA"/>
    <w:rsid w:val="00825E84"/>
  </w:style>
  <w:style w:type="paragraph" w:customStyle="1" w:styleId="0BBDB0815AB14A71BC9F4A3713BA4847">
    <w:name w:val="0BBDB0815AB14A71BC9F4A3713BA4847"/>
    <w:rsid w:val="00825E84"/>
  </w:style>
  <w:style w:type="paragraph" w:customStyle="1" w:styleId="DE796DEE5C63424A936378CEF26E4253">
    <w:name w:val="DE796DEE5C63424A936378CEF26E4253"/>
    <w:rsid w:val="00825E84"/>
  </w:style>
  <w:style w:type="paragraph" w:customStyle="1" w:styleId="F65AD9B91A264C5486724E6B0C40BA79">
    <w:name w:val="F65AD9B91A264C5486724E6B0C40BA79"/>
    <w:rsid w:val="00825E84"/>
  </w:style>
  <w:style w:type="paragraph" w:customStyle="1" w:styleId="5EB987CA6FBA4B26A55D213D2BCD5167">
    <w:name w:val="5EB987CA6FBA4B26A55D213D2BCD5167"/>
    <w:rsid w:val="00825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lab is designed to explore the optimization and encapsulation of OSPF areas through the use of Stub, Totally Stubby, Not-So-Stubby, and Totally Not-So-Stubby networks.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92C909-95BC-4919-A068-11AEB71E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154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Multi-Area OSPF</vt:lpstr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Multi-Area OSPF</dc:title>
  <dc:subject>Optimizing Large Networks with Special OSPF Areas</dc:subject>
  <dc:creator>cisco</dc:creator>
  <cp:keywords/>
  <cp:lastModifiedBy>Max</cp:lastModifiedBy>
  <cp:revision>41</cp:revision>
  <cp:lastPrinted>2009-08-05T20:41:00Z</cp:lastPrinted>
  <dcterms:created xsi:type="dcterms:W3CDTF">2017-09-07T20:27:00Z</dcterms:created>
  <dcterms:modified xsi:type="dcterms:W3CDTF">2017-09-08T17:38:00Z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