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39.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24.png" ContentType="image/png"/>
  <Override PartName="/word/media/rId27.png" ContentType="image/png"/>
  <Override PartName="/word/media/rId3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Customer</w:t>
      </w:r>
      <w:r>
        <w:t xml:space="preserve"> </w:t>
      </w:r>
      <w:r>
        <w:t xml:space="preserve">Churn</w:t>
      </w:r>
      <w:r>
        <w:t xml:space="preserve"> </w:t>
      </w:r>
      <w:r>
        <w:t xml:space="preserve">Analysis</w:t>
      </w:r>
    </w:p>
    <w:p>
      <w:pPr>
        <w:pStyle w:val="Author"/>
      </w:pPr>
      <w:r>
        <w:t xml:space="preserve">Max</w:t>
      </w:r>
      <w:r>
        <w:t xml:space="preserve"> </w:t>
      </w:r>
      <w:r>
        <w:t xml:space="preserve">Kutschinski</w:t>
      </w:r>
    </w:p>
    <w:p>
      <w:pPr>
        <w:pStyle w:val="Date"/>
      </w:pPr>
      <w:r>
        <w:t xml:space="preserve">2022-10-26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In the telecommunications industry, customers frequently switch from one service provider to the next. This makes it a highly competitive industry with an average annual churn rate of 22% (Liibert, 2021). Telco, a company providing home internet and phone services, is interested in testing a new strategy for increasing customer retention.</w:t>
      </w:r>
    </w:p>
    <w:p>
      <w:pPr>
        <w:pStyle w:val="BodyText"/>
      </w:pPr>
      <w:r>
        <w:t xml:space="preserve">The company has determined that focusing on customer retention rather than acquisition best aligns with their long-term goal of increasing profits. According to their research, acquiring a new customer can cost around 5 times more than retaining an existing customer. Furthermore, even a small increase in customer retention can lead to a large increase in profits. Telco has found that customers are likely to spend more with companies they have already done business with. Furthermore, repeat customers are more likely to refer others, which will support long-term growth.</w:t>
      </w:r>
      <w:r>
        <w:t xml:space="preserve"> </w:t>
      </w:r>
      <w:r>
        <w:t xml:space="preserve">This analysis focuses on predicting customer churn using Python. By identifying customers that are at risk of churning, Telco can try to increase retention by targeting these customers with incentives to stay. The company is interested in a predictive model, as well as understanding important variables affecting customer churn. The company is also considering to send out a 20% discount code to customers who are at risk of churning and is inquiring about the profitability of the proposed incentive program.</w:t>
      </w:r>
      <w:r>
        <w:t xml:space="preserve"> </w:t>
      </w:r>
    </w:p>
    <w:bookmarkEnd w:id="20"/>
    <w:bookmarkStart w:id="42" w:name="exploratory-data-analysis"/>
    <w:p>
      <w:pPr>
        <w:pStyle w:val="Heading1"/>
      </w:pPr>
      <w:r>
        <w:t xml:space="preserve">Exploratory Data Analysis</w:t>
      </w:r>
    </w:p>
    <w:p>
      <w:pPr>
        <w:pStyle w:val="FirstParagraph"/>
      </w:pPr>
      <w:r>
        <w:t xml:space="preserve">The data set contains 7043 observations and 33 features is made available on Kaggle. Each observation corresponds to a different customer, whereas the features relate to demographic information of the customers, such as gender, age, and location, as well as the types of services purchased and their cost. Customers are labeled as churned if they have left the business within the last month. Figure 1 shows that Telco customers are located in California and clustered around big cities such as Los Angeles, San Francisco, and San Jose. There also doesn’t seem to be any apparent relationship between churn rate and customer location.</w:t>
      </w:r>
    </w:p>
    <w:p>
      <w:pPr>
        <w:pStyle w:val="CaptionedFigure"/>
      </w:pPr>
      <w:r>
        <w:drawing>
          <wp:inline>
            <wp:extent cx="5334000" cy="2844800"/>
            <wp:effectExtent b="0" l="0" r="0" t="0"/>
            <wp:docPr descr="Customers are located in California and clustered around large metropolitans. There does not appear to be a relationship between churn rate and customer location." title="" id="22" name="Picture"/>
            <a:graphic>
              <a:graphicData uri="http://schemas.openxmlformats.org/drawingml/2006/picture">
                <pic:pic>
                  <pic:nvPicPr>
                    <pic:cNvPr descr="map.png" id="23" name="Picture"/>
                    <pic:cNvPicPr>
                      <a:picLocks noChangeArrowheads="1" noChangeAspect="1"/>
                    </pic:cNvPicPr>
                  </pic:nvPicPr>
                  <pic:blipFill>
                    <a:blip r:embed="rId21"/>
                    <a:stretch>
                      <a:fillRect/>
                    </a:stretch>
                  </pic:blipFill>
                  <pic:spPr bwMode="auto">
                    <a:xfrm>
                      <a:off x="0" y="0"/>
                      <a:ext cx="5334000" cy="2844800"/>
                    </a:xfrm>
                    <a:prstGeom prst="rect">
                      <a:avLst/>
                    </a:prstGeom>
                    <a:noFill/>
                    <a:ln w="9525">
                      <a:noFill/>
                      <a:headEnd/>
                      <a:tailEnd/>
                    </a:ln>
                  </pic:spPr>
                </pic:pic>
              </a:graphicData>
            </a:graphic>
          </wp:inline>
        </w:drawing>
      </w:r>
    </w:p>
    <w:p>
      <w:pPr>
        <w:pStyle w:val="ImageCaption"/>
      </w:pPr>
      <w:r>
        <w:t xml:space="preserve">Customers are located in California and clustered around large metropolitans. There does not appear to be a relationship between churn rate and customer location.</w:t>
      </w:r>
    </w:p>
    <w:p>
      <w:pPr>
        <w:pStyle w:val="BodyText"/>
      </w:pPr>
      <w:r>
        <w:t xml:space="preserve">Figure 3 displays how the CLTV is distributed among churned and and non-churned customers.</w:t>
      </w:r>
      <w:r>
        <w:t xml:space="preserve"> </w:t>
      </w:r>
      <w:r>
        <w:t xml:space="preserve">It also takes into account total number of months that the customer has been with the company. On average, churned customers have a lower life-time value to the company. Furthermore, long-term customers have a higher value and are less likely to churn.</w:t>
      </w:r>
    </w:p>
    <w:p>
      <w:pPr>
        <w:pStyle w:val="CaptionedFigure"/>
      </w:pPr>
      <w:r>
        <w:drawing>
          <wp:inline>
            <wp:extent cx="5334000" cy="2286000"/>
            <wp:effectExtent b="0" l="0" r="0" t="0"/>
            <wp:docPr descr="On average, the estimated CLTV is lower in churned customers. Long-term customers have a higher value and are less likely to churn." title="" id="25" name="Picture"/>
            <a:graphic>
              <a:graphicData uri="http://schemas.openxmlformats.org/drawingml/2006/picture">
                <pic:pic>
                  <pic:nvPicPr>
                    <pic:cNvPr descr="CustomerChurn_files/figure-docx/unnamed-chunk-5-2.png" id="26" name="Picture"/>
                    <pic:cNvPicPr>
                      <a:picLocks noChangeArrowheads="1" noChangeAspect="1"/>
                    </pic:cNvPicPr>
                  </pic:nvPicPr>
                  <pic:blipFill>
                    <a:blip r:embed="rId24"/>
                    <a:stretch>
                      <a:fillRect/>
                    </a:stretch>
                  </pic:blipFill>
                  <pic:spPr bwMode="auto">
                    <a:xfrm>
                      <a:off x="0" y="0"/>
                      <a:ext cx="5334000" cy="2286000"/>
                    </a:xfrm>
                    <a:prstGeom prst="rect">
                      <a:avLst/>
                    </a:prstGeom>
                    <a:noFill/>
                    <a:ln w="9525">
                      <a:noFill/>
                      <a:headEnd/>
                      <a:tailEnd/>
                    </a:ln>
                  </pic:spPr>
                </pic:pic>
              </a:graphicData>
            </a:graphic>
          </wp:inline>
        </w:drawing>
      </w:r>
    </w:p>
    <w:p>
      <w:pPr>
        <w:pStyle w:val="ImageCaption"/>
      </w:pPr>
      <w:r>
        <w:t xml:space="preserve">On average, the estimated CLTV is lower in churned customers. Long-term customers have a higher value and are less likely to churn.</w:t>
      </w:r>
    </w:p>
    <w:p>
      <w:pPr>
        <w:pStyle w:val="BodyText"/>
      </w:pPr>
      <w:r>
        <w:t xml:space="preserve">The data set also contains information on the total monthly charges for each customer. This can be used to calculate the total revenue that is lost due to churned customers. Overall, churned customers constitute around $140,000 in lost revenue, which translates to 30% of total revenue. Figure 4 summarizes the distribution of monthly charges across churned and non-churned customers and indicates that higher monthly charges seem to correlate with higher churn rates.</w:t>
      </w:r>
    </w:p>
    <w:p>
      <w:pPr>
        <w:pStyle w:val="CaptionedFigure"/>
      </w:pPr>
      <w:r>
        <w:drawing>
          <wp:inline>
            <wp:extent cx="5334000" cy="2286000"/>
            <wp:effectExtent b="0" l="0" r="0" t="0"/>
            <wp:docPr descr="Higher monthly charges are correlated with higher churn rates" title="" id="28" name="Picture"/>
            <a:graphic>
              <a:graphicData uri="http://schemas.openxmlformats.org/drawingml/2006/picture">
                <pic:pic>
                  <pic:nvPicPr>
                    <pic:cNvPr descr="CustomerChurn_files/figure-docx/unnamed-chunk-6-4.png" id="29" name="Picture"/>
                    <pic:cNvPicPr>
                      <a:picLocks noChangeArrowheads="1" noChangeAspect="1"/>
                    </pic:cNvPicPr>
                  </pic:nvPicPr>
                  <pic:blipFill>
                    <a:blip r:embed="rId27"/>
                    <a:stretch>
                      <a:fillRect/>
                    </a:stretch>
                  </pic:blipFill>
                  <pic:spPr bwMode="auto">
                    <a:xfrm>
                      <a:off x="0" y="0"/>
                      <a:ext cx="5334000" cy="2286000"/>
                    </a:xfrm>
                    <a:prstGeom prst="rect">
                      <a:avLst/>
                    </a:prstGeom>
                    <a:noFill/>
                    <a:ln w="9525">
                      <a:noFill/>
                      <a:headEnd/>
                      <a:tailEnd/>
                    </a:ln>
                  </pic:spPr>
                </pic:pic>
              </a:graphicData>
            </a:graphic>
          </wp:inline>
        </w:drawing>
      </w:r>
    </w:p>
    <w:p>
      <w:pPr>
        <w:pStyle w:val="ImageCaption"/>
      </w:pPr>
      <w:r>
        <w:t xml:space="preserve">Higher monthly charges are correlated with higher churn rates</w:t>
      </w:r>
    </w:p>
    <w:p>
      <w:pPr>
        <w:pStyle w:val="BodyText"/>
      </w:pPr>
      <w:r>
        <w:t xml:space="preserve">Total monthly charges are calculated based on the different kinds of services that a customer is subscribed to. These services include phone service, internet service, multiple lines, online security, online backup, device protection, and tech support. Figure 5 summarizes the popularity of these services by displaying the number of customers subscribed to them, as well as the churn rate within each service. The majority of customers are subscribed to phone and internet services, whereas tech support and online security are the least popular services. Furthermore, customers that bought the internet service have a high churn rate and customers that are subscribed to less popular services seem to be less likely to churn.</w:t>
      </w:r>
    </w:p>
    <w:p>
      <w:pPr>
        <w:pStyle w:val="CaptionedFigure"/>
      </w:pPr>
      <w:r>
        <w:drawing>
          <wp:inline>
            <wp:extent cx="5334000" cy="2286000"/>
            <wp:effectExtent b="0" l="0" r="0" t="0"/>
            <wp:docPr descr="The majority of customers are subscribed to phone and internet services. Tech support and online security are the least popular services. Churn rate decreases with popularity." title="" id="31" name="Picture"/>
            <a:graphic>
              <a:graphicData uri="http://schemas.openxmlformats.org/drawingml/2006/picture">
                <pic:pic>
                  <pic:nvPicPr>
                    <pic:cNvPr descr="CustomerChurn_files/figure-docx/unnamed-chunk-8-6.png" id="32" name="Picture"/>
                    <pic:cNvPicPr>
                      <a:picLocks noChangeArrowheads="1" noChangeAspect="1"/>
                    </pic:cNvPicPr>
                  </pic:nvPicPr>
                  <pic:blipFill>
                    <a:blip r:embed="rId30"/>
                    <a:stretch>
                      <a:fillRect/>
                    </a:stretch>
                  </pic:blipFill>
                  <pic:spPr bwMode="auto">
                    <a:xfrm>
                      <a:off x="0" y="0"/>
                      <a:ext cx="5334000" cy="2286000"/>
                    </a:xfrm>
                    <a:prstGeom prst="rect">
                      <a:avLst/>
                    </a:prstGeom>
                    <a:noFill/>
                    <a:ln w="9525">
                      <a:noFill/>
                      <a:headEnd/>
                      <a:tailEnd/>
                    </a:ln>
                  </pic:spPr>
                </pic:pic>
              </a:graphicData>
            </a:graphic>
          </wp:inline>
        </w:drawing>
      </w:r>
    </w:p>
    <w:p>
      <w:pPr>
        <w:pStyle w:val="ImageCaption"/>
      </w:pPr>
      <w:r>
        <w:t xml:space="preserve">The majority of customers are subscribed to phone and internet services. Tech support and online security are the least popular services. Churn rate decreases with popularity.</w:t>
      </w:r>
    </w:p>
    <w:p>
      <w:pPr>
        <w:pStyle w:val="BodyText"/>
      </w:pPr>
      <w:r>
        <w:t xml:space="preserve">Customers can choose between three different types of contracts: month-to-month, one year, and two year. In addition, they have the option to opt in to paperless billing and choose between different payment methods. Churn rates of different payment related variables are displayed in Figure 6.</w:t>
      </w:r>
    </w:p>
    <w:p>
      <w:pPr>
        <w:pStyle w:val="CaptionedFigure"/>
      </w:pPr>
      <w:r>
        <w:drawing>
          <wp:inline>
            <wp:extent cx="5334000" cy="2286000"/>
            <wp:effectExtent b="0" l="0" r="0" t="0"/>
            <wp:docPr descr="Long-term contracts have very low churn rates, but are also less popular. Paying with electronic check is the most common and has the highest churn rate." title="" id="34" name="Picture"/>
            <a:graphic>
              <a:graphicData uri="http://schemas.openxmlformats.org/drawingml/2006/picture">
                <pic:pic>
                  <pic:nvPicPr>
                    <pic:cNvPr descr="CustomerChurn_files/figure-docx/unnamed-chunk-11-8.png" id="35" name="Picture"/>
                    <pic:cNvPicPr>
                      <a:picLocks noChangeArrowheads="1" noChangeAspect="1"/>
                    </pic:cNvPicPr>
                  </pic:nvPicPr>
                  <pic:blipFill>
                    <a:blip r:embed="rId33"/>
                    <a:stretch>
                      <a:fillRect/>
                    </a:stretch>
                  </pic:blipFill>
                  <pic:spPr bwMode="auto">
                    <a:xfrm>
                      <a:off x="0" y="0"/>
                      <a:ext cx="5334000" cy="2286000"/>
                    </a:xfrm>
                    <a:prstGeom prst="rect">
                      <a:avLst/>
                    </a:prstGeom>
                    <a:noFill/>
                    <a:ln w="9525">
                      <a:noFill/>
                      <a:headEnd/>
                      <a:tailEnd/>
                    </a:ln>
                  </pic:spPr>
                </pic:pic>
              </a:graphicData>
            </a:graphic>
          </wp:inline>
        </w:drawing>
      </w:r>
    </w:p>
    <w:p>
      <w:pPr>
        <w:pStyle w:val="ImageCaption"/>
      </w:pPr>
      <w:r>
        <w:t xml:space="preserve">Long-term contracts have very low churn rates, but are also less popular. Paying with electronic check is the most common and has the highest churn rate.</w:t>
      </w:r>
    </w:p>
    <w:p>
      <w:pPr>
        <w:pStyle w:val="BodyText"/>
      </w:pPr>
      <w:r>
        <w:t xml:space="preserve">Month-to-month contracts are the most popular option and are associated with the highest churn rates. On the other hand, long-term contracts are less popular but have a very low churn rate. Most customers pay via electronic check, which has a higher churn rate than other payment methods.</w:t>
      </w:r>
    </w:p>
    <w:p>
      <w:pPr>
        <w:pStyle w:val="BodyText"/>
      </w:pPr>
      <w:r>
        <w:t xml:space="preserve">Demographic information on the customers include whether they are a senior citizen, have dependents, and if they have a partner, as well as their gender. Figure 7 plots churn rates after taking demographic information into account.</w:t>
      </w:r>
    </w:p>
    <w:p>
      <w:pPr>
        <w:pStyle w:val="CaptionedFigure"/>
      </w:pPr>
      <w:r>
        <w:drawing>
          <wp:inline>
            <wp:extent cx="5334000" cy="2286000"/>
            <wp:effectExtent b="0" l="0" r="0" t="0"/>
            <wp:docPr descr="Churn rates do not differ between genders. Customers with dependents have a comparatively low churn rate." title="" id="37" name="Picture"/>
            <a:graphic>
              <a:graphicData uri="http://schemas.openxmlformats.org/drawingml/2006/picture">
                <pic:pic>
                  <pic:nvPicPr>
                    <pic:cNvPr descr="CustomerChurn_files/figure-docx/unnamed-chunk-14-10.png" id="38" name="Picture"/>
                    <pic:cNvPicPr>
                      <a:picLocks noChangeArrowheads="1" noChangeAspect="1"/>
                    </pic:cNvPicPr>
                  </pic:nvPicPr>
                  <pic:blipFill>
                    <a:blip r:embed="rId36"/>
                    <a:stretch>
                      <a:fillRect/>
                    </a:stretch>
                  </pic:blipFill>
                  <pic:spPr bwMode="auto">
                    <a:xfrm>
                      <a:off x="0" y="0"/>
                      <a:ext cx="5334000" cy="2286000"/>
                    </a:xfrm>
                    <a:prstGeom prst="rect">
                      <a:avLst/>
                    </a:prstGeom>
                    <a:noFill/>
                    <a:ln w="9525">
                      <a:noFill/>
                      <a:headEnd/>
                      <a:tailEnd/>
                    </a:ln>
                  </pic:spPr>
                </pic:pic>
              </a:graphicData>
            </a:graphic>
          </wp:inline>
        </w:drawing>
      </w:r>
    </w:p>
    <w:p>
      <w:pPr>
        <w:pStyle w:val="ImageCaption"/>
      </w:pPr>
      <w:r>
        <w:t xml:space="preserve">Churn rates do not differ between genders. Customers with dependents have a comparatively low churn rate.</w:t>
      </w:r>
    </w:p>
    <w:p>
      <w:pPr>
        <w:pStyle w:val="BodyText"/>
      </w:pPr>
      <w:r>
        <w:t xml:space="preserve">There are a roughly equal number of male and female customers. The churn rate does not differ significantly between the two genders. Furthermore, customers with dependents have a relatively low churn rate.</w:t>
      </w:r>
    </w:p>
    <w:p>
      <w:pPr>
        <w:pStyle w:val="BodyText"/>
      </w:pPr>
      <w:r>
        <w:t xml:space="preserve">The heatmap in Figure 9 describes the correlation among the four quantitative features in the data set. Since total charges are calculated as the monthly charges times the tenure, it is no surprise that they are highly correlated.</w:t>
      </w:r>
    </w:p>
    <w:p>
      <w:r>
        <w:br w:type="page"/>
      </w:r>
    </w:p>
    <w:p>
      <w:pPr>
        <w:pStyle w:val="CaptionedFigure"/>
      </w:pPr>
      <w:r>
        <w:drawing>
          <wp:inline>
            <wp:extent cx="5334000" cy="2286000"/>
            <wp:effectExtent b="0" l="0" r="0" t="0"/>
            <wp:docPr descr="Total charges are highly correlated with tenure and monthly charges." title="" id="40" name="Picture"/>
            <a:graphic>
              <a:graphicData uri="http://schemas.openxmlformats.org/drawingml/2006/picture">
                <pic:pic>
                  <pic:nvPicPr>
                    <pic:cNvPr descr="CustomerChurn_files/figure-docx/unnamed-chunk-17-12.png" id="41" name="Picture"/>
                    <pic:cNvPicPr>
                      <a:picLocks noChangeArrowheads="1" noChangeAspect="1"/>
                    </pic:cNvPicPr>
                  </pic:nvPicPr>
                  <pic:blipFill>
                    <a:blip r:embed="rId39"/>
                    <a:stretch>
                      <a:fillRect/>
                    </a:stretch>
                  </pic:blipFill>
                  <pic:spPr bwMode="auto">
                    <a:xfrm>
                      <a:off x="0" y="0"/>
                      <a:ext cx="5334000" cy="2286000"/>
                    </a:xfrm>
                    <a:prstGeom prst="rect">
                      <a:avLst/>
                    </a:prstGeom>
                    <a:noFill/>
                    <a:ln w="9525">
                      <a:noFill/>
                      <a:headEnd/>
                      <a:tailEnd/>
                    </a:ln>
                  </pic:spPr>
                </pic:pic>
              </a:graphicData>
            </a:graphic>
          </wp:inline>
        </w:drawing>
      </w:r>
    </w:p>
    <w:p>
      <w:pPr>
        <w:pStyle w:val="ImageCaption"/>
      </w:pPr>
      <w:r>
        <w:t xml:space="preserve">Total charges are highly correlated with tenure and monthly charges.</w:t>
      </w:r>
    </w:p>
    <w:bookmarkEnd w:id="42"/>
    <w:bookmarkStart w:id="58" w:name="modeling"/>
    <w:p>
      <w:pPr>
        <w:pStyle w:val="Heading1"/>
      </w:pPr>
      <w:r>
        <w:t xml:space="preserve">Modeling</w:t>
      </w:r>
    </w:p>
    <w:p>
      <w:pPr>
        <w:pStyle w:val="FirstParagraph"/>
      </w:pPr>
      <w:r>
        <w:t xml:space="preserve">Total Charges is the only feature with missing values. These observations correspond to customers that have a tenure of less than a month. Since churn values are established for customers that churned within the last month, the best way to deal with these observations is to drop them. Note that since the entire feature is highly correlated with Tenure Months and Monthly Charges, it is not very informative to begin with and can even negatively affect some of the models. Therefore, the entire feature is excluded from the analysis.</w:t>
      </w:r>
    </w:p>
    <w:p>
      <w:pPr>
        <w:pStyle w:val="BodyText"/>
      </w:pPr>
      <w:r>
        <w:t xml:space="preserve">Most machine learning models don’t natively support non-numeric data. Hence, all categorical features are manually transformed into dummy variables via one-hot-encoding prior to being used as input for modeling. In addition, uninformative features such as Customer ID, Country, and State are dropped. This results in a new data set with dimensions 7032 x 46.</w:t>
      </w:r>
    </w:p>
    <w:p>
      <w:pPr>
        <w:pStyle w:val="BodyText"/>
      </w:pPr>
      <w:r>
        <w:t xml:space="preserve">Another thing to consider before training models is that there exists an unequal proportion of churned and non-churned customers in the data set, which will negatively impact prediction performance of the minority class. Synthetic Minority Over-Sampling Technique (SMOTE) is used to address this issue and create a more balanced data set.</w:t>
      </w:r>
    </w:p>
    <w:p>
      <w:pPr>
        <w:pStyle w:val="BodyText"/>
      </w:pPr>
      <w:r>
        <w:t xml:space="preserve">Different classification models are used to predict churning customers. These include tree ensembles such as Random Forests and XGBoost, as well as other parametric models such as Logistic Regression and Logistic Elastic Net. All models are trained on a training set and evaluated on an independent test set. Classification results are summarized in figures 10 to 13. Each figure is comprised of a table of performance metrics and a confusion matrix, where 1 represents churned customers and 0 represents non-churned customers.</w:t>
      </w:r>
    </w:p>
    <w:p>
      <w:pPr>
        <w:pStyle w:val="BodyText"/>
      </w:pPr>
      <w:r>
        <w:t xml:space="preserve">Figure 10 shows that the Random Forests model has high overall Accuracy but does not do very well at predicting the minority class (customer churn).</w:t>
      </w:r>
    </w:p>
    <w:p>
      <w:r>
        <w:br w:type="page"/>
      </w:r>
    </w:p>
    <w:p>
      <w:pPr>
        <w:pStyle w:val="CaptionedFigure"/>
      </w:pPr>
      <w:r>
        <w:drawing>
          <wp:inline>
            <wp:extent cx="5334000" cy="2286000"/>
            <wp:effectExtent b="0" l="0" r="0" t="0"/>
            <wp:docPr descr="Random Forests: High Accuracy, low Recall." title="" id="44" name="Picture"/>
            <a:graphic>
              <a:graphicData uri="http://schemas.openxmlformats.org/drawingml/2006/picture">
                <pic:pic>
                  <pic:nvPicPr>
                    <pic:cNvPr descr="CustomerChurn_files/figure-docx/unnamed-chunk-20-14.png" id="45" name="Picture"/>
                    <pic:cNvPicPr>
                      <a:picLocks noChangeArrowheads="1" noChangeAspect="1"/>
                    </pic:cNvPicPr>
                  </pic:nvPicPr>
                  <pic:blipFill>
                    <a:blip r:embed="rId43"/>
                    <a:stretch>
                      <a:fillRect/>
                    </a:stretch>
                  </pic:blipFill>
                  <pic:spPr bwMode="auto">
                    <a:xfrm>
                      <a:off x="0" y="0"/>
                      <a:ext cx="5334000" cy="2286000"/>
                    </a:xfrm>
                    <a:prstGeom prst="rect">
                      <a:avLst/>
                    </a:prstGeom>
                    <a:noFill/>
                    <a:ln w="9525">
                      <a:noFill/>
                      <a:headEnd/>
                      <a:tailEnd/>
                    </a:ln>
                  </pic:spPr>
                </pic:pic>
              </a:graphicData>
            </a:graphic>
          </wp:inline>
        </w:drawing>
      </w:r>
    </w:p>
    <w:p>
      <w:pPr>
        <w:pStyle w:val="ImageCaption"/>
      </w:pPr>
      <w:r>
        <w:t xml:space="preserve">Random Forests: High Accuracy, low Recall.</w:t>
      </w:r>
    </w:p>
    <w:p>
      <w:pPr>
        <w:pStyle w:val="BodyText"/>
      </w:pPr>
      <w:r>
        <w:t xml:space="preserve">Figure 11 summarizes the XGBoost results, which has lower Accuracy than the Random Forests model but performs much better at predicting customer churn.</w:t>
      </w:r>
    </w:p>
    <w:p>
      <w:pPr>
        <w:pStyle w:val="CaptionedFigure"/>
      </w:pPr>
      <w:r>
        <w:drawing>
          <wp:inline>
            <wp:extent cx="5334000" cy="2286000"/>
            <wp:effectExtent b="0" l="0" r="0" t="0"/>
            <wp:docPr descr="XGBoost: Low Accuracy, high Recall." title="" id="47" name="Picture"/>
            <a:graphic>
              <a:graphicData uri="http://schemas.openxmlformats.org/drawingml/2006/picture">
                <pic:pic>
                  <pic:nvPicPr>
                    <pic:cNvPr descr="CustomerChurn_files/figure-docx/unnamed-chunk-22-16.png" id="48" name="Picture"/>
                    <pic:cNvPicPr>
                      <a:picLocks noChangeArrowheads="1" noChangeAspect="1"/>
                    </pic:cNvPicPr>
                  </pic:nvPicPr>
                  <pic:blipFill>
                    <a:blip r:embed="rId46"/>
                    <a:stretch>
                      <a:fillRect/>
                    </a:stretch>
                  </pic:blipFill>
                  <pic:spPr bwMode="auto">
                    <a:xfrm>
                      <a:off x="0" y="0"/>
                      <a:ext cx="5334000" cy="2286000"/>
                    </a:xfrm>
                    <a:prstGeom prst="rect">
                      <a:avLst/>
                    </a:prstGeom>
                    <a:noFill/>
                    <a:ln w="9525">
                      <a:noFill/>
                      <a:headEnd/>
                      <a:tailEnd/>
                    </a:ln>
                  </pic:spPr>
                </pic:pic>
              </a:graphicData>
            </a:graphic>
          </wp:inline>
        </w:drawing>
      </w:r>
    </w:p>
    <w:p>
      <w:pPr>
        <w:pStyle w:val="ImageCaption"/>
      </w:pPr>
      <w:r>
        <w:t xml:space="preserve">XGBoost: Low Accuracy, high Recall.</w:t>
      </w:r>
    </w:p>
    <w:p>
      <w:pPr>
        <w:pStyle w:val="BodyText"/>
      </w:pPr>
      <w:r>
        <w:t xml:space="preserve">Figure 12 displays the Logistic Regression prediction results with Accuracy and Recall scores falling in between the two tree-based models.</w:t>
      </w:r>
    </w:p>
    <w:p>
      <w:r>
        <w:br w:type="page"/>
      </w:r>
    </w:p>
    <w:p>
      <w:pPr>
        <w:pStyle w:val="CaptionedFigure"/>
      </w:pPr>
      <w:r>
        <w:drawing>
          <wp:inline>
            <wp:extent cx="5334000" cy="2286000"/>
            <wp:effectExtent b="0" l="0" r="0" t="0"/>
            <wp:docPr descr="Logistic Regression: Medium Accuracy, medium Recall." title="" id="50" name="Picture"/>
            <a:graphic>
              <a:graphicData uri="http://schemas.openxmlformats.org/drawingml/2006/picture">
                <pic:pic>
                  <pic:nvPicPr>
                    <pic:cNvPr descr="CustomerChurn_files/figure-docx/unnamed-chunk-24-18.png" id="51" name="Picture"/>
                    <pic:cNvPicPr>
                      <a:picLocks noChangeArrowheads="1" noChangeAspect="1"/>
                    </pic:cNvPicPr>
                  </pic:nvPicPr>
                  <pic:blipFill>
                    <a:blip r:embed="rId49"/>
                    <a:stretch>
                      <a:fillRect/>
                    </a:stretch>
                  </pic:blipFill>
                  <pic:spPr bwMode="auto">
                    <a:xfrm>
                      <a:off x="0" y="0"/>
                      <a:ext cx="5334000" cy="2286000"/>
                    </a:xfrm>
                    <a:prstGeom prst="rect">
                      <a:avLst/>
                    </a:prstGeom>
                    <a:noFill/>
                    <a:ln w="9525">
                      <a:noFill/>
                      <a:headEnd/>
                      <a:tailEnd/>
                    </a:ln>
                  </pic:spPr>
                </pic:pic>
              </a:graphicData>
            </a:graphic>
          </wp:inline>
        </w:drawing>
      </w:r>
    </w:p>
    <w:p>
      <w:pPr>
        <w:pStyle w:val="ImageCaption"/>
      </w:pPr>
      <w:r>
        <w:t xml:space="preserve">Logistic Regression: Medium Accuracy, medium Recall.</w:t>
      </w:r>
    </w:p>
    <w:p>
      <w:pPr>
        <w:pStyle w:val="BodyText"/>
      </w:pPr>
      <w:r>
        <w:t xml:space="preserve">The Logistic Elastic Net predictions are summarized in Figure 13. This model performes slightly worse than Logistic Regression across all metrics.</w:t>
      </w:r>
    </w:p>
    <w:p>
      <w:pPr>
        <w:pStyle w:val="CaptionedFigure"/>
      </w:pPr>
      <w:r>
        <w:drawing>
          <wp:inline>
            <wp:extent cx="5334000" cy="2286000"/>
            <wp:effectExtent b="0" l="0" r="0" t="0"/>
            <wp:docPr descr="Logistic Elastic Net: Medium Accuracy, medium Recall." title="" id="53" name="Picture"/>
            <a:graphic>
              <a:graphicData uri="http://schemas.openxmlformats.org/drawingml/2006/picture">
                <pic:pic>
                  <pic:nvPicPr>
                    <pic:cNvPr descr="CustomerChurn_files/figure-docx/unnamed-chunk-25-20.png" id="54" name="Picture"/>
                    <pic:cNvPicPr>
                      <a:picLocks noChangeArrowheads="1" noChangeAspect="1"/>
                    </pic:cNvPicPr>
                  </pic:nvPicPr>
                  <pic:blipFill>
                    <a:blip r:embed="rId52"/>
                    <a:stretch>
                      <a:fillRect/>
                    </a:stretch>
                  </pic:blipFill>
                  <pic:spPr bwMode="auto">
                    <a:xfrm>
                      <a:off x="0" y="0"/>
                      <a:ext cx="5334000" cy="2286000"/>
                    </a:xfrm>
                    <a:prstGeom prst="rect">
                      <a:avLst/>
                    </a:prstGeom>
                    <a:noFill/>
                    <a:ln w="9525">
                      <a:noFill/>
                      <a:headEnd/>
                      <a:tailEnd/>
                    </a:ln>
                  </pic:spPr>
                </pic:pic>
              </a:graphicData>
            </a:graphic>
          </wp:inline>
        </w:drawing>
      </w:r>
    </w:p>
    <w:p>
      <w:pPr>
        <w:pStyle w:val="ImageCaption"/>
      </w:pPr>
      <w:r>
        <w:t xml:space="preserve">Logistic Elastic Net: Medium Accuracy, medium Recall.</w:t>
      </w:r>
    </w:p>
    <w:p>
      <w:pPr>
        <w:pStyle w:val="BodyText"/>
      </w:pPr>
      <w:r>
        <w:t xml:space="preserve">Permutation feature importance is a technique that is used to measure the importance of features for a particular model. It is defined to be the decrease in a model score when a single feature value is randomly shuffled. If a feature is highly important then the prediction score should decrease substantially after permuting the values for that feature. Figure 14 plots the permutation feature importance of the XGBoost model and indicates that contract type and tenure are highly important predictors of customer churn. Monthly charges, internet service, and dependents are also among the most important features.</w:t>
      </w:r>
    </w:p>
    <w:p>
      <w:r>
        <w:br w:type="page"/>
      </w:r>
    </w:p>
    <w:p>
      <w:pPr>
        <w:pStyle w:val="CaptionedFigure"/>
      </w:pPr>
      <w:r>
        <w:drawing>
          <wp:inline>
            <wp:extent cx="5334000" cy="3810000"/>
            <wp:effectExtent b="0" l="0" r="0" t="0"/>
            <wp:docPr descr="Contract type and tenure are highly important predictors of customer churn. Monthly charges, internet service, and dependents are also among the most important features." title="" id="56" name="Picture"/>
            <a:graphic>
              <a:graphicData uri="http://schemas.openxmlformats.org/drawingml/2006/picture">
                <pic:pic>
                  <pic:nvPicPr>
                    <pic:cNvPr descr="CustomerChurn_files/figure-docx/unnamed-chunk-26-22.png" id="57" name="Picture"/>
                    <pic:cNvPicPr>
                      <a:picLocks noChangeArrowheads="1" noChangeAspect="1"/>
                    </pic:cNvPicPr>
                  </pic:nvPicPr>
                  <pic:blipFill>
                    <a:blip r:embed="rId55"/>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Contract type and tenure are highly important predictors of customer churn. Monthly charges, internet service, and dependents are also among the most important features.</w:t>
      </w:r>
    </w:p>
    <w:bookmarkEnd w:id="58"/>
    <w:bookmarkStart w:id="59" w:name="results"/>
    <w:p>
      <w:pPr>
        <w:pStyle w:val="Heading1"/>
      </w:pPr>
      <w:r>
        <w:t xml:space="preserve">Results</w:t>
      </w:r>
    </w:p>
    <w:p>
      <w:pPr>
        <w:pStyle w:val="FirstParagraph"/>
      </w:pPr>
      <w:r>
        <w:t xml:space="preserve">All models face a trade-off between Type I and Type II error and one must carefully consider this trade-off, along with the business implications, when deciding on an evaluation metric. A Type I error occurs when a customer is falsely predicted to churn. On the other hand, a Type II error occurs when a customer is falsely predicted not to churn. For Telco this means that a Type II error would result in targeting non-churning customers with promotions directed at churning customers. Although this is certainly less than ideal, it is arguably more desirable than failing to identify churning customers. Thus, this analysis favors models with low Type I error as opposed to low Type II error.</w:t>
      </w:r>
    </w:p>
    <w:p>
      <w:pPr>
        <w:pStyle w:val="BodyText"/>
      </w:pPr>
      <w:r>
        <w:t xml:space="preserve">In terms of performance metrics, this means that metrics such as Recall and the F1-Beta score are preferred over Accuracy. Recall (sometimes referred to as Sensitivity or True Positive Rate) measures the fraction of actual churned customers that were correctly classified. The F1-Beta score uses a weighted approach to strike a balance between Recall and Precision, where Precision measures the fraction of churned predictions that are actual churned customers.</w:t>
      </w:r>
    </w:p>
    <w:p>
      <w:pPr>
        <w:pStyle w:val="BodyText"/>
      </w:pPr>
      <w:r>
        <w:t xml:space="preserve">Precision is important in the context of discount codes because a low Precision score translates to more discount codes being handed out to non-churning customers, which would negatively impact the campaigns profitability.</w:t>
      </w:r>
      <w:r>
        <w:t xml:space="preserve"> </w:t>
      </w:r>
      <w:r>
        <w:t xml:space="preserve">target campaign could involve something like a one time 20% discount code. Assuming that this strategy has a 40% chance of retaining the customer</w:t>
      </w:r>
      <w:r>
        <w:t xml:space="preserve"> </w:t>
      </w:r>
      <w:r>
        <w:t xml:space="preserve">The best model maximizes Precision and Recall and yields the highest Return on Investment (ROI). The ROI can be calculated as</w:t>
      </w:r>
      <w:r>
        <w:t xml:space="preserve"> </w:t>
      </w:r>
      <m:oMath>
        <m:r>
          <m:t>R</m:t>
        </m:r>
        <m:r>
          <m:t>O</m:t>
        </m:r>
        <m:r>
          <m:t>I</m:t>
        </m:r>
        <m:r>
          <m:rPr>
            <m:sty m:val="p"/>
          </m:rPr>
          <m:t>=</m:t>
        </m:r>
        <m:f>
          <m:fPr>
            <m:type m:val="bar"/>
          </m:fPr>
          <m:num>
            <m:r>
              <m:t>R</m:t>
            </m:r>
            <m:r>
              <m:t>e</m:t>
            </m:r>
            <m:r>
              <m:t>v</m:t>
            </m:r>
            <m:r>
              <m:t>e</m:t>
            </m:r>
            <m:r>
              <m:t>n</m:t>
            </m:r>
            <m:r>
              <m:t>u</m:t>
            </m:r>
            <m:r>
              <m:t>e</m:t>
            </m:r>
            <m:r>
              <m:rPr>
                <m:sty m:val="p"/>
              </m:rPr>
              <m:t>−</m:t>
            </m:r>
            <m:r>
              <m:t>C</m:t>
            </m:r>
            <m:r>
              <m:t>o</m:t>
            </m:r>
            <m:r>
              <m:t>s</m:t>
            </m:r>
            <m:r>
              <m:t>t</m:t>
            </m:r>
          </m:num>
          <m:den>
            <m:r>
              <m:t>C</m:t>
            </m:r>
            <m:r>
              <m:t>o</m:t>
            </m:r>
            <m:r>
              <m:t>s</m:t>
            </m:r>
            <m:r>
              <m:t>t</m:t>
            </m:r>
          </m:den>
        </m:f>
        <m:r>
          <m:rPr>
            <m:sty m:val="p"/>
          </m:rPr>
          <m:t>*</m:t>
        </m:r>
        <m:r>
          <m:t>100</m:t>
        </m:r>
      </m:oMath>
      <w:r>
        <w:t xml:space="preserve"> </w:t>
      </w:r>
      <w:r>
        <w:t xml:space="preserve">where</w:t>
      </w:r>
      <w:r>
        <w:t xml:space="preserve"> </w:t>
      </w:r>
      <m:oMath>
        <m:r>
          <m:t>R</m:t>
        </m:r>
        <m:r>
          <m:t>e</m:t>
        </m:r>
        <m:r>
          <m:t>v</m:t>
        </m:r>
        <m:r>
          <m:t>e</m:t>
        </m:r>
        <m:r>
          <m:t>n</m:t>
        </m:r>
        <m:r>
          <m:t>u</m:t>
        </m:r>
        <m:r>
          <m:t>e</m:t>
        </m:r>
        <m:r>
          <m:rPr>
            <m:sty m:val="p"/>
          </m:rPr>
          <m:t>=</m:t>
        </m:r>
        <m:r>
          <m:t>P</m:t>
        </m:r>
        <m:d>
          <m:dPr>
            <m:begChr m:val="("/>
            <m:endChr m:val=")"/>
            <m:sepChr m:val=""/>
            <m:grow/>
          </m:dPr>
          <m:e>
            <m:r>
              <m:t>S</m:t>
            </m:r>
            <m:r>
              <m:t>u</m:t>
            </m:r>
            <m:r>
              <m:t>c</m:t>
            </m:r>
            <m:r>
              <m:t>c</m:t>
            </m:r>
            <m:r>
              <m:t>e</m:t>
            </m:r>
            <m:r>
              <m:t>s</m:t>
            </m:r>
            <m:r>
              <m:t>s</m:t>
            </m:r>
          </m:e>
        </m:d>
        <m:r>
          <m:rPr>
            <m:sty m:val="p"/>
          </m:rPr>
          <m:t>*</m:t>
        </m:r>
        <m:d>
          <m:dPr>
            <m:begChr m:val="("/>
            <m:endChr m:val=")"/>
            <m:sepChr m:val=""/>
            <m:grow/>
          </m:dPr>
          <m:e>
            <m:r>
              <m:t>1</m:t>
            </m:r>
            <m:r>
              <m:rPr>
                <m:sty m:val="p"/>
              </m:rPr>
              <m:t>−</m:t>
            </m:r>
            <m:r>
              <m:t>D</m:t>
            </m:r>
            <m:r>
              <m:t>i</m:t>
            </m:r>
            <m:r>
              <m:t>s</m:t>
            </m:r>
            <m:r>
              <m:t>c</m:t>
            </m:r>
            <m:r>
              <m:t>o</m:t>
            </m:r>
            <m:r>
              <m:t>u</m:t>
            </m:r>
            <m:r>
              <m:t>n</m:t>
            </m:r>
            <m:r>
              <m:t>t</m:t>
            </m:r>
          </m:e>
        </m:d>
        <m:r>
          <m:rPr>
            <m:sty m:val="p"/>
          </m:rPr>
          <m:t>*</m:t>
        </m:r>
        <m:r>
          <m:t>M</m:t>
        </m:r>
        <m:r>
          <m:t>o</m:t>
        </m:r>
        <m:r>
          <m:t>n</m:t>
        </m:r>
        <m:r>
          <m:t>t</m:t>
        </m:r>
        <m:r>
          <m:t>h</m:t>
        </m:r>
        <m:r>
          <m:t>l</m:t>
        </m:r>
        <m:r>
          <m:t>y</m:t>
        </m:r>
        <m:r>
          <m:rPr>
            <m:sty m:val="p"/>
          </m:rPr>
          <m:t>_</m:t>
        </m:r>
        <m:r>
          <m:t>C</m:t>
        </m:r>
        <m:r>
          <m:t>o</m:t>
        </m:r>
        <m:r>
          <m:t>s</m:t>
        </m:r>
        <m:r>
          <m:t>t</m:t>
        </m:r>
      </m:oMath>
      <w:r>
        <w:t xml:space="preserve"> </w:t>
      </w:r>
      <w:r>
        <w:t xml:space="preserve">and</w:t>
      </w:r>
      <w:r>
        <w:t xml:space="preserve"> </w:t>
      </w:r>
      <m:oMath>
        <m:r>
          <m:t>C</m:t>
        </m:r>
        <m:r>
          <m:t>o</m:t>
        </m:r>
        <m:r>
          <m:t>s</m:t>
        </m:r>
        <m:r>
          <m:t>t</m:t>
        </m:r>
        <m:r>
          <m:rPr>
            <m:sty m:val="p"/>
          </m:rPr>
          <m:t>=</m:t>
        </m:r>
        <m:r>
          <m:t>D</m:t>
        </m:r>
        <m:r>
          <m:t>i</m:t>
        </m:r>
        <m:r>
          <m:t>s</m:t>
        </m:r>
        <m:r>
          <m:t>c</m:t>
        </m:r>
        <m:r>
          <m:t>o</m:t>
        </m:r>
        <m:r>
          <m:t>u</m:t>
        </m:r>
        <m:r>
          <m:t>n</m:t>
        </m:r>
        <m:r>
          <m:t>t</m:t>
        </m:r>
        <m:r>
          <m:rPr>
            <m:sty m:val="p"/>
          </m:rPr>
          <m:t>*</m:t>
        </m:r>
        <m:r>
          <m:t>M</m:t>
        </m:r>
        <m:r>
          <m:t>o</m:t>
        </m:r>
        <m:r>
          <m:t>n</m:t>
        </m:r>
        <m:r>
          <m:t>t</m:t>
        </m:r>
        <m:r>
          <m:t>h</m:t>
        </m:r>
        <m:r>
          <m:t>l</m:t>
        </m:r>
        <m:r>
          <m:t>y</m:t>
        </m:r>
        <m:r>
          <m:rPr>
            <m:sty m:val="p"/>
          </m:rPr>
          <m:t>_</m:t>
        </m:r>
        <m:r>
          <m:t>C</m:t>
        </m:r>
        <m:r>
          <m:t>o</m:t>
        </m:r>
        <m:r>
          <m:t>s</m:t>
        </m:r>
        <m:r>
          <m:t>t</m:t>
        </m:r>
      </m:oMath>
      <w:r>
        <w:t xml:space="preserve">. Assuming a 40% success rate and a 20% discount, the ROI for the Logistic Regression Model is 60%, making it the most profitable model.</w:t>
      </w:r>
    </w:p>
    <w:bookmarkEnd w:id="59"/>
    <w:bookmarkStart w:id="60" w:name="conclusion"/>
    <w:p>
      <w:pPr>
        <w:pStyle w:val="Heading1"/>
      </w:pPr>
      <w:r>
        <w:t xml:space="preserve">Conclusion</w:t>
      </w:r>
    </w:p>
    <w:p>
      <w:pPr>
        <w:pStyle w:val="FirstParagraph"/>
      </w:pPr>
      <w:r>
        <w:t xml:space="preserve">The primary focus of this analysis was on developing a predictive model for identifying customers who are at risk of churning. This model was then used to evaluate the profitability of an incentive program to increase customer retention. It was shown that a targeted 20% discount would result in a 60% Return on Investment under the best performing model.</w:t>
      </w:r>
      <w:r>
        <w:t xml:space="preserve"> </w:t>
      </w:r>
      <w:r>
        <w:t xml:space="preserve">Furthermore, the analysis has revealed which variables have the strongest effect on customer churn. New customers and customers with high monthly charges are most at risk of churning. In addition, customers with an internet subscription are churning at higher rates than other services. The two main churn reasons reported by customers are related to competitors and dissatisfaction with customer support.</w:t>
      </w:r>
    </w:p>
    <w:p>
      <w:pPr>
        <w:pStyle w:val="BodyText"/>
      </w:pPr>
      <w:r>
        <w:t xml:space="preserve">Future research should be done to investigate self-reported churn reasons. For example, there are a variety of variables related to customer support interactions, such as chat logs, wait time, and the number of exchanges, that could be collected and added to the data set. This would allow Telco to address shortcomings in the services they provide, ensure a better overall customer experience, and ultimately increase customer retention.</w:t>
      </w:r>
    </w:p>
    <w:p>
      <w:r>
        <w:br w:type="page"/>
      </w:r>
    </w:p>
    <w:bookmarkEnd w:id="60"/>
    <w:bookmarkStart w:id="61" w:name="references"/>
    <w:p>
      <w:pPr>
        <w:pStyle w:val="Heading1"/>
      </w:pPr>
      <w:r>
        <w:t xml:space="preserve">References</w:t>
      </w:r>
    </w:p>
    <w:p>
      <w:pPr>
        <w:pStyle w:val="FirstParagraph"/>
      </w:pPr>
      <w:r>
        <w:t xml:space="preserve">Liibert, Katheriin.</w:t>
      </w:r>
      <w:r>
        <w:t xml:space="preserve"> </w:t>
      </w:r>
      <w:r>
        <w:t xml:space="preserve">“</w:t>
      </w:r>
      <w:r>
        <w:t xml:space="preserve">Essentials of Customer Churn and Retention | Smartlook Blog.</w:t>
      </w:r>
      <w:r>
        <w:t xml:space="preserve">”</w:t>
      </w:r>
      <w:r>
        <w:t xml:space="preserve"> </w:t>
      </w:r>
      <w:r>
        <w:t xml:space="preserve">Smartlook Blog, 26 Apr. 2021, www.smartlook.com/blog/customer-churn-retention/#:~:text=The%20average%20churn%20rate%20in,take%20action%20to%20reduce%20it.</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Churn Analysis</dc:title>
  <dc:creator>Max Kutschinski</dc:creator>
  <cp:keywords/>
  <dcterms:created xsi:type="dcterms:W3CDTF">2022-10-26T16:23:21Z</dcterms:created>
  <dcterms:modified xsi:type="dcterms:W3CDTF">2022-10-26T16:23:21Z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2022-10-26</vt:lpwstr>
  </property>
  <property fmtid="{D5CDD505-2E9C-101B-9397-08002B2CF9AE}" pid="3" name="header-includes">
    <vt:lpwstr/>
  </property>
  <property fmtid="{D5CDD505-2E9C-101B-9397-08002B2CF9AE}" pid="4" name="output">
    <vt:lpwstr/>
  </property>
</Properties>
</file>