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E5881" w14:textId="77777777" w:rsidR="00A13A70" w:rsidRPr="00D1017E" w:rsidRDefault="00A13A70" w:rsidP="00A13A70">
      <w:pPr>
        <w:spacing w:after="0" w:line="360" w:lineRule="auto"/>
        <w:jc w:val="both"/>
        <w:rPr>
          <w:rFonts w:ascii="Times New Roman" w:hAnsi="Times New Roman" w:cs="Times New Roman"/>
          <w:color w:val="EE0000"/>
        </w:rPr>
      </w:pPr>
      <w:r w:rsidRPr="00D1017E">
        <w:rPr>
          <w:rFonts w:ascii="Times New Roman" w:hAnsi="Times New Roman" w:cs="Times New Roman"/>
          <w:color w:val="EE0000"/>
        </w:rPr>
        <w:t>3 Metodologia</w:t>
      </w:r>
    </w:p>
    <w:p w14:paraId="4D265010" w14:textId="77777777" w:rsidR="00A13A70" w:rsidRPr="00D1017E" w:rsidRDefault="00A13A70" w:rsidP="00A13A70">
      <w:pPr>
        <w:spacing w:after="0" w:line="360" w:lineRule="auto"/>
        <w:jc w:val="both"/>
        <w:rPr>
          <w:rFonts w:ascii="Times New Roman" w:hAnsi="Times New Roman" w:cs="Times New Roman"/>
          <w:color w:val="EE0000"/>
        </w:rPr>
      </w:pPr>
    </w:p>
    <w:p w14:paraId="51DA51C0" w14:textId="77777777" w:rsidR="00A13A70" w:rsidRPr="00D1017E" w:rsidRDefault="00A13A70" w:rsidP="00A13A70">
      <w:pPr>
        <w:spacing w:after="0" w:line="360" w:lineRule="auto"/>
        <w:jc w:val="both"/>
        <w:rPr>
          <w:rFonts w:ascii="Times New Roman" w:hAnsi="Times New Roman" w:cs="Times New Roman"/>
          <w:color w:val="EE0000"/>
        </w:rPr>
      </w:pPr>
      <w:r w:rsidRPr="00D1017E">
        <w:rPr>
          <w:rFonts w:ascii="Times New Roman" w:hAnsi="Times New Roman" w:cs="Times New Roman"/>
          <w:color w:val="EE0000"/>
        </w:rPr>
        <w:t>3.1 Instrumentos de coleta de dados</w:t>
      </w:r>
    </w:p>
    <w:p w14:paraId="3F7F07B8" w14:textId="77777777" w:rsidR="00A13A70" w:rsidRPr="00D1017E" w:rsidRDefault="00A13A70" w:rsidP="00A13A70">
      <w:pPr>
        <w:spacing w:after="0" w:line="360" w:lineRule="auto"/>
        <w:jc w:val="both"/>
        <w:rPr>
          <w:rFonts w:ascii="Times New Roman" w:hAnsi="Times New Roman" w:cs="Times New Roman"/>
          <w:color w:val="EE0000"/>
        </w:rPr>
      </w:pPr>
    </w:p>
    <w:p w14:paraId="0757F6F0" w14:textId="77777777" w:rsidR="00A13A70" w:rsidRPr="00D1017E" w:rsidRDefault="00A13A70" w:rsidP="00A13A70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EE0000"/>
        </w:rPr>
      </w:pPr>
      <w:r w:rsidRPr="00D1017E">
        <w:rPr>
          <w:rFonts w:ascii="Times New Roman" w:hAnsi="Times New Roman" w:cs="Times New Roman"/>
          <w:color w:val="EE0000"/>
        </w:rPr>
        <w:t>O presente estudo utiliza como principal fonte de dados a base do O*NET, um sistema amplamente consolidado para análise das características do trabalho, desenvolvido pelo Departamento de Trabalho dos Estados Unidos. O O*NET constitui uma ontologia ocupacional estruturada que descreve, de forma padronizada, os requisitos de diferentes ocupações em termos de habilidades (skills), capacidades (</w:t>
      </w:r>
      <w:proofErr w:type="spellStart"/>
      <w:r w:rsidRPr="00D1017E">
        <w:rPr>
          <w:rFonts w:ascii="Times New Roman" w:hAnsi="Times New Roman" w:cs="Times New Roman"/>
          <w:color w:val="EE0000"/>
        </w:rPr>
        <w:t>abilities</w:t>
      </w:r>
      <w:proofErr w:type="spellEnd"/>
      <w:r w:rsidRPr="00D1017E">
        <w:rPr>
          <w:rFonts w:ascii="Times New Roman" w:hAnsi="Times New Roman" w:cs="Times New Roman"/>
          <w:color w:val="EE0000"/>
        </w:rPr>
        <w:t>), atividades de trabalho (</w:t>
      </w:r>
      <w:proofErr w:type="spellStart"/>
      <w:r w:rsidRPr="00D1017E">
        <w:rPr>
          <w:rFonts w:ascii="Times New Roman" w:hAnsi="Times New Roman" w:cs="Times New Roman"/>
          <w:color w:val="EE0000"/>
        </w:rPr>
        <w:t>work</w:t>
      </w:r>
      <w:proofErr w:type="spellEnd"/>
      <w:r w:rsidRPr="00D1017E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D1017E">
        <w:rPr>
          <w:rFonts w:ascii="Times New Roman" w:hAnsi="Times New Roman" w:cs="Times New Roman"/>
          <w:color w:val="EE0000"/>
        </w:rPr>
        <w:t>activities</w:t>
      </w:r>
      <w:proofErr w:type="spellEnd"/>
      <w:r w:rsidRPr="00D1017E">
        <w:rPr>
          <w:rFonts w:ascii="Times New Roman" w:hAnsi="Times New Roman" w:cs="Times New Roman"/>
          <w:color w:val="EE0000"/>
        </w:rPr>
        <w:t>) e tarefas (</w:t>
      </w:r>
      <w:proofErr w:type="spellStart"/>
      <w:r w:rsidRPr="00D1017E">
        <w:rPr>
          <w:rFonts w:ascii="Times New Roman" w:hAnsi="Times New Roman" w:cs="Times New Roman"/>
          <w:color w:val="EE0000"/>
        </w:rPr>
        <w:t>tasks</w:t>
      </w:r>
      <w:proofErr w:type="spellEnd"/>
      <w:r w:rsidRPr="00D1017E">
        <w:rPr>
          <w:rFonts w:ascii="Times New Roman" w:hAnsi="Times New Roman" w:cs="Times New Roman"/>
          <w:color w:val="EE0000"/>
        </w:rPr>
        <w:t>), sendo amplamente empregado em pesquisas sobre mercado de trabalho, automação e competências (Peterson et al., 2001; Autor et al., 2003). Os dados do O*NET são derivados de múltiplas fontes, incluindo avaliações de especialistas e trabalhadores incumbentes, e são operacionalizados por meio de escalas padronizadas que mensuram, entre outros aspectos, a importância (</w:t>
      </w:r>
      <w:proofErr w:type="spellStart"/>
      <w:r w:rsidRPr="00D1017E">
        <w:rPr>
          <w:rFonts w:ascii="Times New Roman" w:hAnsi="Times New Roman" w:cs="Times New Roman"/>
          <w:color w:val="EE0000"/>
        </w:rPr>
        <w:t>Importance</w:t>
      </w:r>
      <w:proofErr w:type="spellEnd"/>
      <w:r w:rsidRPr="00D1017E">
        <w:rPr>
          <w:rFonts w:ascii="Times New Roman" w:hAnsi="Times New Roman" w:cs="Times New Roman"/>
          <w:color w:val="EE0000"/>
        </w:rPr>
        <w:t xml:space="preserve"> – IM) e o nível (</w:t>
      </w:r>
      <w:proofErr w:type="spellStart"/>
      <w:r w:rsidRPr="00D1017E">
        <w:rPr>
          <w:rFonts w:ascii="Times New Roman" w:hAnsi="Times New Roman" w:cs="Times New Roman"/>
          <w:color w:val="EE0000"/>
        </w:rPr>
        <w:t>Level</w:t>
      </w:r>
      <w:proofErr w:type="spellEnd"/>
      <w:r w:rsidRPr="00D1017E">
        <w:rPr>
          <w:rFonts w:ascii="Times New Roman" w:hAnsi="Times New Roman" w:cs="Times New Roman"/>
          <w:color w:val="EE0000"/>
        </w:rPr>
        <w:t xml:space="preserve"> – LV) de diferentes atributos ocupacionais. Essas escalas permitem capturar tanto a relevância relativa quanto a complexidade exigida de determinadas habilidades em contextos ocupacionais específicos, sendo consideradas adequadas para análises comparativas entre ocupações (Handel, 2016).</w:t>
      </w:r>
    </w:p>
    <w:p w14:paraId="54A9078A" w14:textId="77777777" w:rsidR="00A13A70" w:rsidRPr="00A13A70" w:rsidRDefault="00A13A70" w:rsidP="00A13A70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EE0000"/>
          <w:sz w:val="28"/>
          <w:szCs w:val="28"/>
        </w:rPr>
      </w:pPr>
      <w:r w:rsidRPr="00D1017E">
        <w:rPr>
          <w:rFonts w:ascii="Times New Roman" w:hAnsi="Times New Roman" w:cs="Times New Roman"/>
          <w:color w:val="EE0000"/>
        </w:rPr>
        <w:t xml:space="preserve">Neste estudo, foram selecionadas variáveis pertencentes aos domínios de skills e </w:t>
      </w:r>
      <w:proofErr w:type="spellStart"/>
      <w:r w:rsidRPr="00D1017E">
        <w:rPr>
          <w:rFonts w:ascii="Times New Roman" w:hAnsi="Times New Roman" w:cs="Times New Roman"/>
          <w:color w:val="EE0000"/>
        </w:rPr>
        <w:t>work</w:t>
      </w:r>
      <w:proofErr w:type="spellEnd"/>
      <w:r w:rsidRPr="00D1017E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D1017E">
        <w:rPr>
          <w:rFonts w:ascii="Times New Roman" w:hAnsi="Times New Roman" w:cs="Times New Roman"/>
          <w:color w:val="EE0000"/>
        </w:rPr>
        <w:t>activities</w:t>
      </w:r>
      <w:proofErr w:type="spellEnd"/>
      <w:r w:rsidRPr="00D1017E">
        <w:rPr>
          <w:rFonts w:ascii="Times New Roman" w:hAnsi="Times New Roman" w:cs="Times New Roman"/>
          <w:color w:val="EE0000"/>
        </w:rPr>
        <w:t xml:space="preserve">, com foco em atributos cognitivos e informacionais, tais como </w:t>
      </w:r>
      <w:r w:rsidRPr="00A13A70">
        <w:rPr>
          <w:rFonts w:ascii="Times New Roman" w:hAnsi="Times New Roman" w:cs="Times New Roman"/>
          <w:color w:val="EE0000"/>
          <w:sz w:val="28"/>
          <w:szCs w:val="28"/>
        </w:rPr>
        <w:t xml:space="preserve">pensamento crítico, resolução de problemas, processamento de informações e interação com computadores. A escolha dessas variáveis baseia-se em sua relevância teórica para a caracterização de atividades intensivas em conhecimento e informatização, conforme discutido na literatura sobre transformação do trabalho e mudança tecnológica (Autor et al., 2003; Frey &amp; Osborne, 2017). Adicionalmente, a base O*NET é particularmente adequada para este estudo por permitir a construção de indicadores derivados a partir de seus componentes estruturados, possibilitando a operacionalização de constructos complexos, como a intensidade de informatização e as </w:t>
      </w:r>
      <w:proofErr w:type="spellStart"/>
      <w:r w:rsidRPr="00A13A70">
        <w:rPr>
          <w:rFonts w:ascii="Times New Roman" w:hAnsi="Times New Roman" w:cs="Times New Roman"/>
          <w:color w:val="EE0000"/>
          <w:sz w:val="28"/>
          <w:szCs w:val="28"/>
        </w:rPr>
        <w:t>higher-order</w:t>
      </w:r>
      <w:proofErr w:type="spellEnd"/>
      <w:r w:rsidRPr="00A13A70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A13A70">
        <w:rPr>
          <w:rFonts w:ascii="Times New Roman" w:hAnsi="Times New Roman" w:cs="Times New Roman"/>
          <w:color w:val="EE0000"/>
          <w:sz w:val="28"/>
          <w:szCs w:val="28"/>
        </w:rPr>
        <w:t>thinking</w:t>
      </w:r>
      <w:proofErr w:type="spellEnd"/>
      <w:r w:rsidRPr="00A13A70">
        <w:rPr>
          <w:rFonts w:ascii="Times New Roman" w:hAnsi="Times New Roman" w:cs="Times New Roman"/>
          <w:color w:val="EE0000"/>
          <w:sz w:val="28"/>
          <w:szCs w:val="28"/>
        </w:rPr>
        <w:t xml:space="preserve"> skills (HOTS), de forma sistemática e replicável. Essa característica tem sido amplamente explorada </w:t>
      </w:r>
      <w:r w:rsidRPr="00A13A70">
        <w:rPr>
          <w:rFonts w:ascii="Times New Roman" w:hAnsi="Times New Roman" w:cs="Times New Roman"/>
          <w:color w:val="EE0000"/>
          <w:sz w:val="28"/>
          <w:szCs w:val="28"/>
        </w:rPr>
        <w:lastRenderedPageBreak/>
        <w:t>em estudos empíricos que investigam a relação entre tecnologia, tarefas e competências no trabalho (Deming, 2017).</w:t>
      </w:r>
    </w:p>
    <w:p w14:paraId="7393155E" w14:textId="77777777" w:rsidR="00A13A70" w:rsidRPr="00A13A70" w:rsidRDefault="00A13A70" w:rsidP="00A13A70">
      <w:pPr>
        <w:spacing w:after="0" w:line="360" w:lineRule="auto"/>
        <w:jc w:val="both"/>
        <w:rPr>
          <w:rFonts w:ascii="Times New Roman" w:hAnsi="Times New Roman" w:cs="Times New Roman"/>
          <w:color w:val="EE0000"/>
          <w:sz w:val="28"/>
          <w:szCs w:val="28"/>
        </w:rPr>
      </w:pPr>
    </w:p>
    <w:p w14:paraId="6CA7A7FD" w14:textId="77777777" w:rsidR="00A13A70" w:rsidRPr="00A13A70" w:rsidRDefault="00A13A70" w:rsidP="00A13A70">
      <w:pPr>
        <w:spacing w:after="0" w:line="360" w:lineRule="auto"/>
        <w:jc w:val="both"/>
        <w:rPr>
          <w:rFonts w:ascii="Times New Roman" w:hAnsi="Times New Roman" w:cs="Times New Roman"/>
          <w:color w:val="EE0000"/>
          <w:sz w:val="28"/>
          <w:szCs w:val="28"/>
        </w:rPr>
      </w:pPr>
      <w:r w:rsidRPr="00A13A70">
        <w:rPr>
          <w:rFonts w:ascii="Times New Roman" w:hAnsi="Times New Roman" w:cs="Times New Roman"/>
          <w:color w:val="EE0000"/>
          <w:sz w:val="28"/>
          <w:szCs w:val="28"/>
        </w:rPr>
        <w:t>3.2 Procedimento de análise de dados</w:t>
      </w:r>
    </w:p>
    <w:p w14:paraId="76E48407" w14:textId="77777777" w:rsidR="00A13A70" w:rsidRPr="00A13A70" w:rsidRDefault="00A13A70" w:rsidP="00A13A70">
      <w:pPr>
        <w:spacing w:after="0" w:line="360" w:lineRule="auto"/>
        <w:jc w:val="both"/>
        <w:rPr>
          <w:rFonts w:ascii="Times New Roman" w:hAnsi="Times New Roman" w:cs="Times New Roman"/>
          <w:color w:val="EE0000"/>
          <w:sz w:val="28"/>
          <w:szCs w:val="28"/>
        </w:rPr>
      </w:pPr>
    </w:p>
    <w:p w14:paraId="37A9E8C5" w14:textId="77777777" w:rsidR="00A13A70" w:rsidRPr="00A13A70" w:rsidRDefault="00A13A70" w:rsidP="00A13A70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EE0000"/>
          <w:sz w:val="28"/>
          <w:szCs w:val="28"/>
        </w:rPr>
      </w:pPr>
      <w:r w:rsidRPr="00A13A70">
        <w:rPr>
          <w:rFonts w:ascii="Times New Roman" w:hAnsi="Times New Roman" w:cs="Times New Roman"/>
          <w:color w:val="EE0000"/>
          <w:sz w:val="28"/>
          <w:szCs w:val="28"/>
        </w:rPr>
        <w:t>Inicialmente, foi construído um índice de intensidade de informatização das ocupações com base em variáveis selecionadas do O*NET. Para tanto, foram utilizadas duas abordagens complementares: (i) uma abordagem baseada em soma teórica, na qual variáveis associadas ao processamento de informação e interação com tecnologias digitais foram agregadas e contrapostas a variáveis de natureza física e manual; e (</w:t>
      </w:r>
      <w:proofErr w:type="spellStart"/>
      <w:r w:rsidRPr="00A13A70">
        <w:rPr>
          <w:rFonts w:ascii="Times New Roman" w:hAnsi="Times New Roman" w:cs="Times New Roman"/>
          <w:color w:val="EE0000"/>
          <w:sz w:val="28"/>
          <w:szCs w:val="28"/>
        </w:rPr>
        <w:t>ii</w:t>
      </w:r>
      <w:proofErr w:type="spellEnd"/>
      <w:r w:rsidRPr="00A13A70">
        <w:rPr>
          <w:rFonts w:ascii="Times New Roman" w:hAnsi="Times New Roman" w:cs="Times New Roman"/>
          <w:color w:val="EE0000"/>
          <w:sz w:val="28"/>
          <w:szCs w:val="28"/>
        </w:rPr>
        <w:t xml:space="preserve">) uma abordagem baseada em análise de componentes principais (Principal </w:t>
      </w:r>
      <w:proofErr w:type="spellStart"/>
      <w:r w:rsidRPr="00A13A70">
        <w:rPr>
          <w:rFonts w:ascii="Times New Roman" w:hAnsi="Times New Roman" w:cs="Times New Roman"/>
          <w:color w:val="EE0000"/>
          <w:sz w:val="28"/>
          <w:szCs w:val="28"/>
        </w:rPr>
        <w:t>Component</w:t>
      </w:r>
      <w:proofErr w:type="spellEnd"/>
      <w:r w:rsidRPr="00A13A70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A13A70">
        <w:rPr>
          <w:rFonts w:ascii="Times New Roman" w:hAnsi="Times New Roman" w:cs="Times New Roman"/>
          <w:color w:val="EE0000"/>
          <w:sz w:val="28"/>
          <w:szCs w:val="28"/>
        </w:rPr>
        <w:t>Analysis</w:t>
      </w:r>
      <w:proofErr w:type="spellEnd"/>
      <w:r w:rsidRPr="00A13A70">
        <w:rPr>
          <w:rFonts w:ascii="Times New Roman" w:hAnsi="Times New Roman" w:cs="Times New Roman"/>
          <w:color w:val="EE0000"/>
          <w:sz w:val="28"/>
          <w:szCs w:val="28"/>
        </w:rPr>
        <w:t xml:space="preserve"> – PCA), que permite reduzir a dimensionalidade dos dados e identificar combinações lineares que maximizam a variância explicada, reduzindo a arbitrariedade na definição de pesos (</w:t>
      </w:r>
      <w:proofErr w:type="spellStart"/>
      <w:r w:rsidRPr="00A13A70">
        <w:rPr>
          <w:rFonts w:ascii="Times New Roman" w:hAnsi="Times New Roman" w:cs="Times New Roman"/>
          <w:color w:val="EE0000"/>
          <w:sz w:val="28"/>
          <w:szCs w:val="28"/>
        </w:rPr>
        <w:t>Jolliffe</w:t>
      </w:r>
      <w:proofErr w:type="spellEnd"/>
      <w:r w:rsidRPr="00A13A70">
        <w:rPr>
          <w:rFonts w:ascii="Times New Roman" w:hAnsi="Times New Roman" w:cs="Times New Roman"/>
          <w:color w:val="EE0000"/>
          <w:sz w:val="28"/>
          <w:szCs w:val="28"/>
        </w:rPr>
        <w:t>, 2002). A utilização combinada dessas abordagens permite aumentar a robustez dos resultados, conforme recomendado na literatura metodológica.</w:t>
      </w:r>
    </w:p>
    <w:p w14:paraId="0C539A85" w14:textId="77777777" w:rsidR="00A13A70" w:rsidRPr="00A13A70" w:rsidRDefault="00A13A70" w:rsidP="00A13A70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EE0000"/>
          <w:sz w:val="28"/>
          <w:szCs w:val="28"/>
        </w:rPr>
      </w:pPr>
      <w:r w:rsidRPr="00A13A70">
        <w:rPr>
          <w:rFonts w:ascii="Times New Roman" w:hAnsi="Times New Roman" w:cs="Times New Roman"/>
          <w:color w:val="EE0000"/>
          <w:sz w:val="28"/>
          <w:szCs w:val="28"/>
        </w:rPr>
        <w:t xml:space="preserve">A partir do índice de informatização, procedeu-se à definição da população de interesse por meio de dois critérios complementares. Primeiramente, foi aplicado um critério baseado em percentis, selecionando-se as ocupações situadas no quartil superior da distribuição (percentil 75), estratégia amplamente utilizada em estudos empíricos por sua robustez e independência de pressupostos distributivos </w:t>
      </w:r>
      <w:bookmarkStart w:id="0" w:name="_Hlk226916637"/>
      <w:r w:rsidRPr="00A13A70">
        <w:rPr>
          <w:rFonts w:ascii="Times New Roman" w:hAnsi="Times New Roman" w:cs="Times New Roman"/>
          <w:color w:val="EE0000"/>
          <w:sz w:val="28"/>
          <w:szCs w:val="28"/>
        </w:rPr>
        <w:t>(</w:t>
      </w:r>
      <w:proofErr w:type="spellStart"/>
      <w:r w:rsidRPr="00A13A70">
        <w:rPr>
          <w:rFonts w:ascii="Times New Roman" w:hAnsi="Times New Roman" w:cs="Times New Roman"/>
          <w:color w:val="EE0000"/>
          <w:sz w:val="28"/>
          <w:szCs w:val="28"/>
        </w:rPr>
        <w:t>Angrist</w:t>
      </w:r>
      <w:proofErr w:type="spellEnd"/>
      <w:r w:rsidRPr="00A13A70">
        <w:rPr>
          <w:rFonts w:ascii="Times New Roman" w:hAnsi="Times New Roman" w:cs="Times New Roman"/>
          <w:color w:val="EE0000"/>
          <w:sz w:val="28"/>
          <w:szCs w:val="28"/>
        </w:rPr>
        <w:t xml:space="preserve"> &amp; </w:t>
      </w:r>
      <w:proofErr w:type="spellStart"/>
      <w:r w:rsidRPr="00A13A70">
        <w:rPr>
          <w:rFonts w:ascii="Times New Roman" w:hAnsi="Times New Roman" w:cs="Times New Roman"/>
          <w:color w:val="EE0000"/>
          <w:sz w:val="28"/>
          <w:szCs w:val="28"/>
        </w:rPr>
        <w:t>Pischke</w:t>
      </w:r>
      <w:proofErr w:type="spellEnd"/>
      <w:r w:rsidRPr="00A13A70">
        <w:rPr>
          <w:rFonts w:ascii="Times New Roman" w:hAnsi="Times New Roman" w:cs="Times New Roman"/>
          <w:color w:val="EE0000"/>
          <w:sz w:val="28"/>
          <w:szCs w:val="28"/>
        </w:rPr>
        <w:t xml:space="preserve">, 2009). </w:t>
      </w:r>
      <w:bookmarkEnd w:id="0"/>
      <w:r w:rsidRPr="00A13A70">
        <w:rPr>
          <w:rFonts w:ascii="Times New Roman" w:hAnsi="Times New Roman" w:cs="Times New Roman"/>
          <w:color w:val="EE0000"/>
          <w:sz w:val="28"/>
          <w:szCs w:val="28"/>
        </w:rPr>
        <w:t>Em seguida, foi empregada uma abordagem de clusterização não supervisionada por meio do algoritmo k-</w:t>
      </w:r>
      <w:proofErr w:type="spellStart"/>
      <w:r w:rsidRPr="00A13A70">
        <w:rPr>
          <w:rFonts w:ascii="Times New Roman" w:hAnsi="Times New Roman" w:cs="Times New Roman"/>
          <w:color w:val="EE0000"/>
          <w:sz w:val="28"/>
          <w:szCs w:val="28"/>
        </w:rPr>
        <w:t>means</w:t>
      </w:r>
      <w:proofErr w:type="spellEnd"/>
      <w:r w:rsidRPr="00A13A70">
        <w:rPr>
          <w:rFonts w:ascii="Times New Roman" w:hAnsi="Times New Roman" w:cs="Times New Roman"/>
          <w:color w:val="EE0000"/>
          <w:sz w:val="28"/>
          <w:szCs w:val="28"/>
        </w:rPr>
        <w:t>, que agrupa ocupações com base em similaridade multivariada, permitindo identificar padrões estruturais nos dados de forma orientada pelos próprios dados (</w:t>
      </w:r>
      <w:proofErr w:type="spellStart"/>
      <w:r w:rsidRPr="00A13A70">
        <w:rPr>
          <w:rFonts w:ascii="Times New Roman" w:hAnsi="Times New Roman" w:cs="Times New Roman"/>
          <w:color w:val="EE0000"/>
          <w:sz w:val="28"/>
          <w:szCs w:val="28"/>
        </w:rPr>
        <w:t>Hastie</w:t>
      </w:r>
      <w:proofErr w:type="spellEnd"/>
      <w:r w:rsidRPr="00A13A70">
        <w:rPr>
          <w:rFonts w:ascii="Times New Roman" w:hAnsi="Times New Roman" w:cs="Times New Roman"/>
          <w:color w:val="EE0000"/>
          <w:sz w:val="28"/>
          <w:szCs w:val="28"/>
        </w:rPr>
        <w:t xml:space="preserve"> et al., 2009). A convergência entre os dois métodos foi utilizada como evidência de validade na definição da amostra analítica.</w:t>
      </w:r>
    </w:p>
    <w:p w14:paraId="7E5BA8B2" w14:textId="77777777" w:rsidR="00A13A70" w:rsidRPr="00A13A70" w:rsidRDefault="00A13A70" w:rsidP="00A13A70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EE0000"/>
          <w:sz w:val="28"/>
          <w:szCs w:val="28"/>
        </w:rPr>
      </w:pPr>
      <w:r w:rsidRPr="00A13A70">
        <w:rPr>
          <w:rFonts w:ascii="Times New Roman" w:hAnsi="Times New Roman" w:cs="Times New Roman"/>
          <w:color w:val="EE0000"/>
          <w:sz w:val="28"/>
          <w:szCs w:val="28"/>
        </w:rPr>
        <w:lastRenderedPageBreak/>
        <w:t xml:space="preserve">Para a operacionalização das dimensões de </w:t>
      </w:r>
      <w:proofErr w:type="spellStart"/>
      <w:r w:rsidRPr="00A13A70">
        <w:rPr>
          <w:rFonts w:ascii="Times New Roman" w:hAnsi="Times New Roman" w:cs="Times New Roman"/>
          <w:color w:val="EE0000"/>
          <w:sz w:val="28"/>
          <w:szCs w:val="28"/>
        </w:rPr>
        <w:t>higher-order</w:t>
      </w:r>
      <w:proofErr w:type="spellEnd"/>
      <w:r w:rsidRPr="00A13A70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A13A70">
        <w:rPr>
          <w:rFonts w:ascii="Times New Roman" w:hAnsi="Times New Roman" w:cs="Times New Roman"/>
          <w:color w:val="EE0000"/>
          <w:sz w:val="28"/>
          <w:szCs w:val="28"/>
        </w:rPr>
        <w:t>thinking</w:t>
      </w:r>
      <w:proofErr w:type="spellEnd"/>
      <w:r w:rsidRPr="00A13A70">
        <w:rPr>
          <w:rFonts w:ascii="Times New Roman" w:hAnsi="Times New Roman" w:cs="Times New Roman"/>
          <w:color w:val="EE0000"/>
          <w:sz w:val="28"/>
          <w:szCs w:val="28"/>
        </w:rPr>
        <w:t xml:space="preserve"> skills (HOTS), foi adotada uma abordagem qualitativa baseada em análise de conteúdo dirigida (Directed </w:t>
      </w:r>
      <w:proofErr w:type="spellStart"/>
      <w:r w:rsidRPr="00A13A70">
        <w:rPr>
          <w:rFonts w:ascii="Times New Roman" w:hAnsi="Times New Roman" w:cs="Times New Roman"/>
          <w:color w:val="EE0000"/>
          <w:sz w:val="28"/>
          <w:szCs w:val="28"/>
        </w:rPr>
        <w:t>Content</w:t>
      </w:r>
      <w:proofErr w:type="spellEnd"/>
      <w:r w:rsidRPr="00A13A70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A13A70">
        <w:rPr>
          <w:rFonts w:ascii="Times New Roman" w:hAnsi="Times New Roman" w:cs="Times New Roman"/>
          <w:color w:val="EE0000"/>
          <w:sz w:val="28"/>
          <w:szCs w:val="28"/>
        </w:rPr>
        <w:t>Analysis</w:t>
      </w:r>
      <w:proofErr w:type="spellEnd"/>
      <w:r w:rsidRPr="00A13A70">
        <w:rPr>
          <w:rFonts w:ascii="Times New Roman" w:hAnsi="Times New Roman" w:cs="Times New Roman"/>
          <w:color w:val="EE0000"/>
          <w:sz w:val="28"/>
          <w:szCs w:val="28"/>
        </w:rPr>
        <w:t xml:space="preserve">), na qual as skills do O*NET foram classificadas em categorias previamente definidas com base na literatura teórica (Hsieh &amp; Shannon, 2005). Esse procedimento foi conduzido por múltiplos avaliadores independentes, sendo a confiabilidade da codificação avaliada por meio de coeficientes de concordância </w:t>
      </w:r>
      <w:proofErr w:type="spellStart"/>
      <w:r w:rsidRPr="00A13A70">
        <w:rPr>
          <w:rFonts w:ascii="Times New Roman" w:hAnsi="Times New Roman" w:cs="Times New Roman"/>
          <w:color w:val="EE0000"/>
          <w:sz w:val="28"/>
          <w:szCs w:val="28"/>
        </w:rPr>
        <w:t>interavaliadores</w:t>
      </w:r>
      <w:proofErr w:type="spellEnd"/>
      <w:r w:rsidRPr="00A13A70">
        <w:rPr>
          <w:rFonts w:ascii="Times New Roman" w:hAnsi="Times New Roman" w:cs="Times New Roman"/>
          <w:color w:val="EE0000"/>
          <w:sz w:val="28"/>
          <w:szCs w:val="28"/>
        </w:rPr>
        <w:t>, conforme recomendado para garantir rigor metodológico em análises qualitativas. Por fim, a estrutura fatorial das dimensões de HOTS foi testada por meio de análise fatorial confirmatória (</w:t>
      </w:r>
      <w:proofErr w:type="spellStart"/>
      <w:r w:rsidRPr="00A13A70">
        <w:rPr>
          <w:rFonts w:ascii="Times New Roman" w:hAnsi="Times New Roman" w:cs="Times New Roman"/>
          <w:color w:val="EE0000"/>
          <w:sz w:val="28"/>
          <w:szCs w:val="28"/>
        </w:rPr>
        <w:t>Confirmatory</w:t>
      </w:r>
      <w:proofErr w:type="spellEnd"/>
      <w:r w:rsidRPr="00A13A70">
        <w:rPr>
          <w:rFonts w:ascii="Times New Roman" w:hAnsi="Times New Roman" w:cs="Times New Roman"/>
          <w:color w:val="EE0000"/>
          <w:sz w:val="28"/>
          <w:szCs w:val="28"/>
        </w:rPr>
        <w:t xml:space="preserve"> Factor </w:t>
      </w:r>
      <w:proofErr w:type="spellStart"/>
      <w:r w:rsidRPr="00A13A70">
        <w:rPr>
          <w:rFonts w:ascii="Times New Roman" w:hAnsi="Times New Roman" w:cs="Times New Roman"/>
          <w:color w:val="EE0000"/>
          <w:sz w:val="28"/>
          <w:szCs w:val="28"/>
        </w:rPr>
        <w:t>Analysis</w:t>
      </w:r>
      <w:proofErr w:type="spellEnd"/>
      <w:r w:rsidRPr="00A13A70">
        <w:rPr>
          <w:rFonts w:ascii="Times New Roman" w:hAnsi="Times New Roman" w:cs="Times New Roman"/>
          <w:color w:val="EE0000"/>
          <w:sz w:val="28"/>
          <w:szCs w:val="28"/>
        </w:rPr>
        <w:t xml:space="preserve"> – CFA), realizada separadamente para as escalas de importância (IM) e nível (LV). A CFA permite avaliar a adequação de um modelo teórico previamente especificado, testando a relação entre variáveis observadas e fatores latentes, sendo amplamente utilizada na validação de constructos em ciências sociais (Brown, 2015). A qualidade do ajuste do modelo foi avaliada com base em índices tradicionais, como CFI, TLI e RMSEA, conforme recomendações da literatura.</w:t>
      </w:r>
    </w:p>
    <w:p w14:paraId="5E1AA49B" w14:textId="77777777" w:rsidR="00A13A70" w:rsidRDefault="00A13A70"/>
    <w:p w14:paraId="52B92E7F" w14:textId="77777777" w:rsidR="00A13A70" w:rsidRPr="00D1017E" w:rsidRDefault="00A13A70" w:rsidP="00A13A70">
      <w:pPr>
        <w:spacing w:after="0" w:line="240" w:lineRule="auto"/>
        <w:jc w:val="both"/>
        <w:rPr>
          <w:rFonts w:ascii="Times New Roman" w:hAnsi="Times New Roman" w:cs="Times New Roman"/>
          <w:color w:val="EE0000"/>
          <w:lang w:val="en-US"/>
        </w:rPr>
      </w:pPr>
      <w:r w:rsidRPr="00A13A70">
        <w:rPr>
          <w:rFonts w:ascii="Times New Roman" w:hAnsi="Times New Roman" w:cs="Times New Roman"/>
          <w:color w:val="EE0000"/>
          <w:lang w:val="en-US"/>
        </w:rPr>
        <w:t xml:space="preserve">Angrist, J. D., &amp; Pischke, J.-S. (2009). </w:t>
      </w:r>
      <w:r w:rsidRPr="00D1017E">
        <w:rPr>
          <w:rFonts w:ascii="Times New Roman" w:hAnsi="Times New Roman" w:cs="Times New Roman"/>
          <w:i/>
          <w:iCs/>
          <w:color w:val="EE0000"/>
          <w:lang w:val="en-US"/>
        </w:rPr>
        <w:t>Mostly harmless econometrics: An empiricist’s companion</w:t>
      </w:r>
      <w:r w:rsidRPr="00D1017E">
        <w:rPr>
          <w:rFonts w:ascii="Times New Roman" w:hAnsi="Times New Roman" w:cs="Times New Roman"/>
          <w:color w:val="EE0000"/>
          <w:lang w:val="en-US"/>
        </w:rPr>
        <w:t>. Princeton University Press.</w:t>
      </w:r>
    </w:p>
    <w:p w14:paraId="2539AF48" w14:textId="77777777" w:rsidR="00A13A70" w:rsidRPr="00D1017E" w:rsidRDefault="00A13A70" w:rsidP="00A13A70">
      <w:pPr>
        <w:spacing w:after="0" w:line="240" w:lineRule="auto"/>
        <w:jc w:val="both"/>
        <w:rPr>
          <w:rFonts w:ascii="Times New Roman" w:hAnsi="Times New Roman" w:cs="Times New Roman"/>
          <w:color w:val="EE0000"/>
          <w:lang w:val="en-US"/>
        </w:rPr>
      </w:pPr>
      <w:r w:rsidRPr="00D1017E">
        <w:rPr>
          <w:rFonts w:ascii="Times New Roman" w:hAnsi="Times New Roman" w:cs="Times New Roman"/>
          <w:color w:val="EE0000"/>
          <w:lang w:val="en-US"/>
        </w:rPr>
        <w:t xml:space="preserve">Autor, D. H., Levy, F., &amp; Murnane, R. J. (2003). The skill content of recent technological change: An empirical exploration. </w:t>
      </w:r>
      <w:r w:rsidRPr="00D1017E">
        <w:rPr>
          <w:rFonts w:ascii="Times New Roman" w:hAnsi="Times New Roman" w:cs="Times New Roman"/>
          <w:i/>
          <w:iCs/>
          <w:color w:val="EE0000"/>
          <w:lang w:val="en-US"/>
        </w:rPr>
        <w:t>The Quarterly Journal of Economics</w:t>
      </w:r>
      <w:r w:rsidRPr="00D1017E">
        <w:rPr>
          <w:rFonts w:ascii="Times New Roman" w:hAnsi="Times New Roman" w:cs="Times New Roman"/>
          <w:color w:val="EE0000"/>
          <w:lang w:val="en-US"/>
        </w:rPr>
        <w:t>, 118(4), 1279–1333.</w:t>
      </w:r>
    </w:p>
    <w:p w14:paraId="31061B46" w14:textId="77777777" w:rsidR="00A13A70" w:rsidRPr="00D1017E" w:rsidRDefault="00A13A70" w:rsidP="00A13A70">
      <w:pPr>
        <w:spacing w:after="0" w:line="240" w:lineRule="auto"/>
        <w:jc w:val="both"/>
        <w:rPr>
          <w:rFonts w:ascii="Times New Roman" w:hAnsi="Times New Roman" w:cs="Times New Roman"/>
          <w:color w:val="EE0000"/>
          <w:lang w:val="en-US"/>
        </w:rPr>
      </w:pPr>
      <w:r w:rsidRPr="00D1017E">
        <w:rPr>
          <w:rFonts w:ascii="Times New Roman" w:hAnsi="Times New Roman" w:cs="Times New Roman"/>
          <w:color w:val="EE0000"/>
          <w:lang w:val="en-US"/>
        </w:rPr>
        <w:t xml:space="preserve">Brown, T. A. (2015). </w:t>
      </w:r>
      <w:r w:rsidRPr="00D1017E">
        <w:rPr>
          <w:rFonts w:ascii="Times New Roman" w:hAnsi="Times New Roman" w:cs="Times New Roman"/>
          <w:i/>
          <w:iCs/>
          <w:color w:val="EE0000"/>
          <w:lang w:val="en-US"/>
        </w:rPr>
        <w:t>Confirmatory factor analysis for applied research</w:t>
      </w:r>
      <w:r w:rsidRPr="00D1017E">
        <w:rPr>
          <w:rFonts w:ascii="Times New Roman" w:hAnsi="Times New Roman" w:cs="Times New Roman"/>
          <w:color w:val="EE0000"/>
          <w:lang w:val="en-US"/>
        </w:rPr>
        <w:t xml:space="preserve"> (2nd ed.). Guilford Press.</w:t>
      </w:r>
    </w:p>
    <w:p w14:paraId="52511629" w14:textId="77777777" w:rsidR="00A13A70" w:rsidRPr="00D1017E" w:rsidRDefault="00A13A70" w:rsidP="00A13A70">
      <w:pPr>
        <w:spacing w:after="0" w:line="240" w:lineRule="auto"/>
        <w:jc w:val="both"/>
        <w:rPr>
          <w:rFonts w:ascii="Times New Roman" w:hAnsi="Times New Roman" w:cs="Times New Roman"/>
          <w:color w:val="EE0000"/>
          <w:lang w:val="en-US"/>
        </w:rPr>
      </w:pPr>
      <w:r w:rsidRPr="00D1017E">
        <w:rPr>
          <w:rFonts w:ascii="Times New Roman" w:hAnsi="Times New Roman" w:cs="Times New Roman"/>
          <w:color w:val="EE0000"/>
          <w:lang w:val="en-US"/>
        </w:rPr>
        <w:t xml:space="preserve">Deming, D. J. (2017). The growing importance of social skills in the labor market. </w:t>
      </w:r>
      <w:r w:rsidRPr="00D1017E">
        <w:rPr>
          <w:rFonts w:ascii="Times New Roman" w:hAnsi="Times New Roman" w:cs="Times New Roman"/>
          <w:i/>
          <w:iCs/>
          <w:color w:val="EE0000"/>
          <w:lang w:val="en-US"/>
        </w:rPr>
        <w:t>The Quarterly Journal of Economics</w:t>
      </w:r>
      <w:r w:rsidRPr="00D1017E">
        <w:rPr>
          <w:rFonts w:ascii="Times New Roman" w:hAnsi="Times New Roman" w:cs="Times New Roman"/>
          <w:color w:val="EE0000"/>
          <w:lang w:val="en-US"/>
        </w:rPr>
        <w:t>, 132(4), 1593–1640.</w:t>
      </w:r>
    </w:p>
    <w:p w14:paraId="0BCBF28C" w14:textId="77777777" w:rsidR="00A13A70" w:rsidRPr="00D1017E" w:rsidRDefault="00A13A70" w:rsidP="00A13A70">
      <w:pPr>
        <w:spacing w:after="0" w:line="240" w:lineRule="auto"/>
        <w:jc w:val="both"/>
        <w:rPr>
          <w:rFonts w:ascii="Times New Roman" w:hAnsi="Times New Roman" w:cs="Times New Roman"/>
          <w:color w:val="EE0000"/>
          <w:lang w:val="en-US"/>
        </w:rPr>
      </w:pPr>
      <w:r w:rsidRPr="00D1017E">
        <w:rPr>
          <w:rFonts w:ascii="Times New Roman" w:hAnsi="Times New Roman" w:cs="Times New Roman"/>
          <w:color w:val="EE0000"/>
          <w:lang w:val="en-US"/>
        </w:rPr>
        <w:t xml:space="preserve">Frey, C. B., &amp; Osborne, M. A. (2017). The future of employment: How susceptible are jobs to </w:t>
      </w:r>
      <w:proofErr w:type="spellStart"/>
      <w:r w:rsidRPr="00D1017E">
        <w:rPr>
          <w:rFonts w:ascii="Times New Roman" w:hAnsi="Times New Roman" w:cs="Times New Roman"/>
          <w:color w:val="EE0000"/>
          <w:lang w:val="en-US"/>
        </w:rPr>
        <w:t>computerisation</w:t>
      </w:r>
      <w:proofErr w:type="spellEnd"/>
      <w:r w:rsidRPr="00D1017E">
        <w:rPr>
          <w:rFonts w:ascii="Times New Roman" w:hAnsi="Times New Roman" w:cs="Times New Roman"/>
          <w:color w:val="EE0000"/>
          <w:lang w:val="en-US"/>
        </w:rPr>
        <w:t xml:space="preserve">? </w:t>
      </w:r>
      <w:r w:rsidRPr="00D1017E">
        <w:rPr>
          <w:rFonts w:ascii="Times New Roman" w:hAnsi="Times New Roman" w:cs="Times New Roman"/>
          <w:i/>
          <w:iCs/>
          <w:color w:val="EE0000"/>
          <w:lang w:val="en-US"/>
        </w:rPr>
        <w:t>Technological Forecasting and Social Change</w:t>
      </w:r>
      <w:r w:rsidRPr="00D1017E">
        <w:rPr>
          <w:rFonts w:ascii="Times New Roman" w:hAnsi="Times New Roman" w:cs="Times New Roman"/>
          <w:color w:val="EE0000"/>
          <w:lang w:val="en-US"/>
        </w:rPr>
        <w:t>, 114, 254–280.</w:t>
      </w:r>
    </w:p>
    <w:p w14:paraId="2A249B8F" w14:textId="77777777" w:rsidR="00A13A70" w:rsidRPr="00D1017E" w:rsidRDefault="00A13A70" w:rsidP="00A13A70">
      <w:pPr>
        <w:spacing w:after="0" w:line="240" w:lineRule="auto"/>
        <w:jc w:val="both"/>
        <w:rPr>
          <w:rFonts w:ascii="Times New Roman" w:hAnsi="Times New Roman" w:cs="Times New Roman"/>
          <w:color w:val="EE0000"/>
          <w:lang w:val="en-US"/>
        </w:rPr>
      </w:pPr>
      <w:r w:rsidRPr="00D1017E">
        <w:rPr>
          <w:rFonts w:ascii="Times New Roman" w:hAnsi="Times New Roman" w:cs="Times New Roman"/>
          <w:color w:val="EE0000"/>
          <w:lang w:val="en-US"/>
        </w:rPr>
        <w:t xml:space="preserve">Handel, M. J. (2016). The O*NET content model: Strengths and limitations. </w:t>
      </w:r>
      <w:r w:rsidRPr="00D1017E">
        <w:rPr>
          <w:rFonts w:ascii="Times New Roman" w:hAnsi="Times New Roman" w:cs="Times New Roman"/>
          <w:i/>
          <w:iCs/>
          <w:color w:val="EE0000"/>
          <w:lang w:val="en-US"/>
        </w:rPr>
        <w:t xml:space="preserve">Journal for </w:t>
      </w:r>
      <w:proofErr w:type="spellStart"/>
      <w:r w:rsidRPr="00D1017E">
        <w:rPr>
          <w:rFonts w:ascii="Times New Roman" w:hAnsi="Times New Roman" w:cs="Times New Roman"/>
          <w:i/>
          <w:iCs/>
          <w:color w:val="EE0000"/>
          <w:lang w:val="en-US"/>
        </w:rPr>
        <w:t>Labour</w:t>
      </w:r>
      <w:proofErr w:type="spellEnd"/>
      <w:r w:rsidRPr="00D1017E">
        <w:rPr>
          <w:rFonts w:ascii="Times New Roman" w:hAnsi="Times New Roman" w:cs="Times New Roman"/>
          <w:i/>
          <w:iCs/>
          <w:color w:val="EE0000"/>
          <w:lang w:val="en-US"/>
        </w:rPr>
        <w:t xml:space="preserve"> Market Research</w:t>
      </w:r>
      <w:r w:rsidRPr="00D1017E">
        <w:rPr>
          <w:rFonts w:ascii="Times New Roman" w:hAnsi="Times New Roman" w:cs="Times New Roman"/>
          <w:color w:val="EE0000"/>
          <w:lang w:val="en-US"/>
        </w:rPr>
        <w:t>, 49(2), 157–176.</w:t>
      </w:r>
    </w:p>
    <w:p w14:paraId="5970875A" w14:textId="77777777" w:rsidR="00A13A70" w:rsidRPr="00D1017E" w:rsidRDefault="00A13A70" w:rsidP="00A13A70">
      <w:pPr>
        <w:spacing w:after="0" w:line="240" w:lineRule="auto"/>
        <w:jc w:val="both"/>
        <w:rPr>
          <w:rFonts w:ascii="Times New Roman" w:hAnsi="Times New Roman" w:cs="Times New Roman"/>
          <w:color w:val="EE0000"/>
          <w:lang w:val="en-US"/>
        </w:rPr>
      </w:pPr>
      <w:r w:rsidRPr="00D1017E">
        <w:rPr>
          <w:rFonts w:ascii="Times New Roman" w:hAnsi="Times New Roman" w:cs="Times New Roman"/>
          <w:color w:val="EE0000"/>
          <w:lang w:val="en-US"/>
        </w:rPr>
        <w:t xml:space="preserve">Hastie, T., </w:t>
      </w:r>
      <w:proofErr w:type="spellStart"/>
      <w:r w:rsidRPr="00D1017E">
        <w:rPr>
          <w:rFonts w:ascii="Times New Roman" w:hAnsi="Times New Roman" w:cs="Times New Roman"/>
          <w:color w:val="EE0000"/>
          <w:lang w:val="en-US"/>
        </w:rPr>
        <w:t>Tibshirani</w:t>
      </w:r>
      <w:proofErr w:type="spellEnd"/>
      <w:r w:rsidRPr="00D1017E">
        <w:rPr>
          <w:rFonts w:ascii="Times New Roman" w:hAnsi="Times New Roman" w:cs="Times New Roman"/>
          <w:color w:val="EE0000"/>
          <w:lang w:val="en-US"/>
        </w:rPr>
        <w:t xml:space="preserve">, R., &amp; Friedman, J. (2009). </w:t>
      </w:r>
      <w:r w:rsidRPr="00D1017E">
        <w:rPr>
          <w:rFonts w:ascii="Times New Roman" w:hAnsi="Times New Roman" w:cs="Times New Roman"/>
          <w:i/>
          <w:iCs/>
          <w:color w:val="EE0000"/>
          <w:lang w:val="en-US"/>
        </w:rPr>
        <w:t>The elements of statistical learning</w:t>
      </w:r>
      <w:r w:rsidRPr="00D1017E">
        <w:rPr>
          <w:rFonts w:ascii="Times New Roman" w:hAnsi="Times New Roman" w:cs="Times New Roman"/>
          <w:color w:val="EE0000"/>
          <w:lang w:val="en-US"/>
        </w:rPr>
        <w:t>. Springer.</w:t>
      </w:r>
    </w:p>
    <w:p w14:paraId="4D056FB2" w14:textId="77777777" w:rsidR="00A13A70" w:rsidRPr="00D1017E" w:rsidRDefault="00A13A70" w:rsidP="00A13A70">
      <w:pPr>
        <w:spacing w:after="0" w:line="240" w:lineRule="auto"/>
        <w:jc w:val="both"/>
        <w:rPr>
          <w:rFonts w:ascii="Times New Roman" w:hAnsi="Times New Roman" w:cs="Times New Roman"/>
          <w:color w:val="EE0000"/>
          <w:lang w:val="en-US"/>
        </w:rPr>
      </w:pPr>
      <w:r w:rsidRPr="00D1017E">
        <w:rPr>
          <w:rFonts w:ascii="Times New Roman" w:hAnsi="Times New Roman" w:cs="Times New Roman"/>
          <w:color w:val="EE0000"/>
          <w:lang w:val="en-US"/>
        </w:rPr>
        <w:t xml:space="preserve">Hsieh, H.-F., &amp; Shannon, S. E. (2005). Three approaches to qualitative content analysis. </w:t>
      </w:r>
      <w:r w:rsidRPr="00D1017E">
        <w:rPr>
          <w:rFonts w:ascii="Times New Roman" w:hAnsi="Times New Roman" w:cs="Times New Roman"/>
          <w:i/>
          <w:iCs/>
          <w:color w:val="EE0000"/>
          <w:lang w:val="en-US"/>
        </w:rPr>
        <w:t>Qualitative Health Research</w:t>
      </w:r>
      <w:r w:rsidRPr="00D1017E">
        <w:rPr>
          <w:rFonts w:ascii="Times New Roman" w:hAnsi="Times New Roman" w:cs="Times New Roman"/>
          <w:color w:val="EE0000"/>
          <w:lang w:val="en-US"/>
        </w:rPr>
        <w:t>, 15(9), 1277–1288.</w:t>
      </w:r>
    </w:p>
    <w:p w14:paraId="1D7954DC" w14:textId="77777777" w:rsidR="00A13A70" w:rsidRDefault="00A13A70"/>
    <w:sectPr w:rsidR="00A13A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A70"/>
    <w:rsid w:val="00857245"/>
    <w:rsid w:val="00A13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E95B45"/>
  <w15:chartTrackingRefBased/>
  <w15:docId w15:val="{ED18CCCC-0AE7-4847-9EA1-865F464A5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3A70"/>
  </w:style>
  <w:style w:type="paragraph" w:styleId="Ttulo1">
    <w:name w:val="heading 1"/>
    <w:basedOn w:val="Normal"/>
    <w:next w:val="Normal"/>
    <w:link w:val="Ttulo1Char"/>
    <w:uiPriority w:val="9"/>
    <w:qFormat/>
    <w:rsid w:val="00A13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13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13A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13A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13A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13A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13A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13A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13A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13A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3A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3A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3A7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3A7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3A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3A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3A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3A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13A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3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13A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3A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13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13A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13A7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13A7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13A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13A7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13A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967</Words>
  <Characters>5228</Characters>
  <Application>Microsoft Office Word</Application>
  <DocSecurity>0</DocSecurity>
  <Lines>43</Lines>
  <Paragraphs>12</Paragraphs>
  <ScaleCrop>false</ScaleCrop>
  <Company/>
  <LinksUpToDate>false</LinksUpToDate>
  <CharactersWithSpaces>6183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maxwell montques</dc:creator>
  <cp:keywords/>
  <dc:description/>
  <cp:lastModifiedBy>maxwell montques</cp:lastModifiedBy>
  <cp:revision>1</cp:revision>
  <dcterms:created xsi:type="dcterms:W3CDTF">2026-04-12T23:22:00Z</dcterms:created>
  <dcterms:modified xsi:type="dcterms:W3CDTF">2026-04-12T23:23:00Z</dcterms:modified>
</cp:coreProperties>
</file>