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 w:before="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C0392B"/>
          <w:sz w:val="72"/>
          <w:szCs w:val="72"/>
        </w:rPr>
        <w:t xml:space="preserve">VULCAN INSIGHT</w:t>
      </w:r>
    </w:p>
    <w:p>
      <w:pPr>
        <w:spacing w:after="80" w:before="0"/>
      </w:pPr>
      <w:r>
        <w:rPr>
          <w:rFonts w:ascii="Arial" w:cs="Arial" w:eastAsia="Arial" w:hAnsi="Arial"/>
          <w:color w:val="1A1F2E"/>
          <w:sz w:val="36"/>
          <w:szCs w:val="36"/>
        </w:rPr>
        <w:t xml:space="preserve">AI Solution Proposal</w:t>
      </w:r>
    </w:p>
    <w:p>
      <w:pPr>
        <w:spacing w:after="60" w:before="0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Prepared for Vulcan Werk  •  June 2026</w:t>
      </w:r>
    </w:p>
    <w:p>
      <w:pPr>
        <w:spacing w:after="600" w:before="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SilverTrust AI Consulting</w:t>
      </w:r>
    </w:p>
    <w:p>
      <w:pPr>
        <w:pBdr>
          <w:bottom w:val="single" w:color="C0392B" w:sz="16" w:space="0"/>
        </w:pBdr>
        <w:spacing w:after="600" w:before="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/>
      </w:r>
    </w:p>
    <w:p>
      <w:pPr>
        <w:spacing w:after="200" w:before="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Status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Confidential</w:t>
            </w:r>
          </w:p>
        </w:tc>
        <w:tc>
          <w:tcPr>
            <w:tcW w:type="dxa" w:w="3212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Version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1.0 — Draft for Review</w:t>
            </w:r>
          </w:p>
        </w:tc>
        <w:tc>
          <w:tcPr>
            <w:tcW w:type="dxa" w:w="3212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Contact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SilverTrust AI Consulting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D8DCE8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2C3E6B"/>
          <w:sz w:val="24"/>
          <w:szCs w:val="24"/>
        </w:rPr>
        <w:t xml:space="preserve">1.  Executive summary</w:t>
      </w:r>
    </w:p>
    <w:p>
      <w:pPr>
        <w:spacing w:after="140" w:before="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Vulcan Werk's production lines generate data across 5 separate systems with incompatible schemas. Getting a complete picture requires one person to assemble it by hand — which means defects, outages, and rework are found after the damage is already done. ISO 9001 audit preparation runs through the same bottleneck.</w:t>
      </w:r>
    </w:p>
    <w:p>
      <w:pPr>
        <w:spacing w:after="140" w:before="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Vulcan Insight fixes this with an on-prem data layer that unifies all 5 sources, routes clean business context to 3 AI agents, and produces audit-ready records — without moving raw data off-site or taking any automated action on the shop floor.</w:t>
      </w:r>
    </w:p>
    <w:p>
      <w:pPr>
        <w:spacing w:after="140" w:before="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The system is classified as minimal risk under the EU AI Act. Every AI output requires human review before use. Log and work-time data that touches employee protection under GDPR is handled at ingestion with role-based access and pseudonymization.</w:t>
      </w:r>
    </w:p>
    <w:p>
      <w:pPr>
        <w:spacing w:after="80" w:before="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518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</w:tcPr>
          <w:p/>
        </w:tc>
        <w:tc>
          <w:tcPr>
            <w:tcW w:type="dxa" w:w="95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F2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3D1A15"/>
                <w:sz w:val="20"/>
                <w:szCs w:val="20"/>
              </w:rPr>
              <w:t xml:space="preserve">The AI receives only filtered, pre-aggregated context — never raw production databases or customer records. Every output is traceable to its source.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/>
      </w:r>
    </w:p>
    <w:p>
      <w:pPr>
        <w:pBdr>
          <w:bottom w:val="single" w:color="D8DCE8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2C3E6B"/>
          <w:sz w:val="24"/>
          <w:szCs w:val="24"/>
        </w:rPr>
        <w:t xml:space="preserve">2.  The problem</w:t>
      </w:r>
    </w:p>
    <w:p>
      <w:pPr>
        <w:spacing w:after="140" w:before="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Three personas carried the same weight in discovery:</w:t>
      </w:r>
    </w:p>
    <w:p>
      <w:pPr>
        <w:spacing w:after="60" w:before="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00"/>
        <w:gridCol w:w="4138"/>
      </w:tblGrid>
      <w:tr>
        <w:tc>
          <w:tcPr>
            <w:tcW w:type="dxa" w:w="18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1A1F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37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1A1F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Pain point</w:t>
            </w:r>
          </w:p>
        </w:tc>
        <w:tc>
          <w:tcPr>
            <w:tcW w:type="dxa" w:w="4138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1A1F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consequence</w:t>
            </w:r>
          </w:p>
        </w:tc>
      </w:tr>
      <w:tr>
        <w:tc>
          <w:tcPr>
            <w:tcW w:type="dxa" w:w="18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C3E6B"/>
                <w:sz w:val="20"/>
                <w:szCs w:val="20"/>
              </w:rPr>
              <w:t xml:space="preserve">Mira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Production Manager</w:t>
            </w:r>
          </w:p>
        </w:tc>
        <w:tc>
          <w:tcPr>
            <w:tcW w:type="dxa" w:w="37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Data from 5 systems in different formats, assembled by hand.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Outages found after the line stops — rework cost compounds.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No live view of performance.</w:t>
            </w:r>
          </w:p>
        </w:tc>
        <w:tc>
          <w:tcPr>
            <w:tcW w:type="dxa" w:w="4138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Margins erode on every late detection.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One technician is the reporting bottleneck for all 3 lines.</w:t>
            </w:r>
          </w:p>
        </w:tc>
      </w:tr>
      <w:tr>
        <w:tc>
          <w:tcPr>
            <w:tcW w:type="dxa" w:w="18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C3E6B"/>
                <w:sz w:val="20"/>
                <w:szCs w:val="20"/>
              </w:rPr>
              <w:t xml:space="preserve">Markus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IT / Shopfloor Tech</w:t>
            </w:r>
          </w:p>
        </w:tc>
        <w:tc>
          <w:tcPr>
            <w:tcW w:type="dxa" w:w="37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3 DEV-network databases with incompatible schemas.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GDPR and NDA constraints block any raw data leaving the building.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Cloud tools refused — on-prem only.</w:t>
            </w:r>
          </w:p>
        </w:tc>
        <w:tc>
          <w:tcPr>
            <w:tcW w:type="dxa" w:w="4138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Integration complexity all lands on 1 person.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Any solution that touches raw data externally is a non-starter.</w:t>
            </w:r>
          </w:p>
        </w:tc>
      </w:tr>
      <w:tr>
        <w:tc>
          <w:tcPr>
            <w:tcW w:type="dxa" w:w="18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C3E6B"/>
                <w:sz w:val="20"/>
                <w:szCs w:val="20"/>
              </w:rPr>
              <w:t xml:space="preserve">Ellen / Ingrid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Compliance &amp; QM</w:t>
            </w:r>
          </w:p>
        </w:tc>
        <w:tc>
          <w:tcPr>
            <w:tcW w:type="dxa" w:w="37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ISO 9001 audits need clean, timestamped, traceable records.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Log and work-time data triggers employee protection rules.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Every flagged incident needs a named human sign-off.</w:t>
            </w:r>
          </w:p>
        </w:tc>
        <w:tc>
          <w:tcPr>
            <w:tcW w:type="dxa" w:w="4138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Audit prep is slow and hard to verify against source.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Inconsistent evidence blocks certification renewals.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/>
      </w:r>
    </w:p>
    <w:p>
      <w:pPr>
        <w:pBdr>
          <w:bottom w:val="single" w:color="D8DCE8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2C3E6B"/>
          <w:sz w:val="24"/>
          <w:szCs w:val="24"/>
        </w:rPr>
        <w:t xml:space="preserve">3.  Solution architecture</w:t>
      </w:r>
    </w:p>
    <w:p>
      <w:pPr>
        <w:spacing w:after="140" w:before="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Vulcan Insight has 4 layers. Each layer has a defined scope; the AI only touches the top 2.</w:t>
      </w:r>
    </w:p>
    <w:p>
      <w:pPr>
        <w:spacing w:after="80" w:before="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200"/>
        <w:gridCol w:w="4000"/>
        <w:gridCol w:w="3138"/>
      </w:tblGrid>
      <w:tr>
        <w:tc>
          <w:tcPr>
            <w:tcW w:type="dxa" w:w="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1A1F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1A1F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1A1F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138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1A1F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 type</w:t>
            </w:r>
          </w:p>
        </w:tc>
      </w:tr>
      <w:tr>
        <w:tc>
          <w:tcPr>
            <w:tcW w:type="dxa" w:w="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F2E"/>
                <w:sz w:val="22"/>
                <w:szCs w:val="22"/>
              </w:rPr>
              <w:t xml:space="preserve">Ingestion</w:t>
            </w:r>
          </w:p>
        </w:tc>
        <w:tc>
          <w:tcPr>
            <w:tcW w:type="dxa" w:w="4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Read-only edge adapters connect to sources A–E.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DEV-network sources (A, B, C) handled via isolated connectors.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No schema changes to existing systems.</w:t>
            </w:r>
          </w:p>
        </w:tc>
        <w:tc>
          <w:tcPr>
            <w:tcW w:type="dxa" w:w="3138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Traditional software</w:t>
            </w:r>
          </w:p>
        </w:tc>
      </w:tr>
      <w:tr>
        <w:tc>
          <w:tcPr>
            <w:tcW w:type="dxa" w:w="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F2E"/>
                <w:sz w:val="22"/>
                <w:szCs w:val="22"/>
              </w:rPr>
              <w:t xml:space="preserve">Unified data layer</w:t>
            </w:r>
          </w:p>
        </w:tc>
        <w:tc>
          <w:tcPr>
            <w:tcW w:type="dxa" w:w="4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Single on-prem store for all sources.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Access control, NDA check, and GDPR filtering at write time.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Immutable audit log; records are timestamped and redacted where employee data is present.</w:t>
            </w:r>
          </w:p>
        </w:tc>
        <w:tc>
          <w:tcPr>
            <w:tcW w:type="dxa" w:w="3138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Traditional software</w:t>
            </w:r>
          </w:p>
        </w:tc>
      </w:tr>
      <w:tr>
        <w:tc>
          <w:tcPr>
            <w:tcW w:type="dxa" w:w="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F2E"/>
                <w:sz w:val="22"/>
                <w:szCs w:val="22"/>
              </w:rPr>
              <w:t xml:space="preserve">Query &amp; analytics</w:t>
            </w:r>
          </w:p>
        </w:tc>
        <w:tc>
          <w:tcPr>
            <w:tcW w:type="dxa" w:w="4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KPI engine runs OEE, rework rate, downtime calculations.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Data is aggregated and filtered before any AI interaction.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Raw telemetry never reaches the AI layer.</w:t>
            </w:r>
          </w:p>
        </w:tc>
        <w:tc>
          <w:tcPr>
            <w:tcW w:type="dxa" w:w="3138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Traditional software</w:t>
            </w:r>
          </w:p>
        </w:tc>
      </w:tr>
      <w:tr>
        <w:tc>
          <w:tcPr>
            <w:tcW w:type="dxa" w:w="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F2E"/>
                <w:sz w:val="22"/>
                <w:szCs w:val="22"/>
              </w:rPr>
              <w:t xml:space="preserve">AI agent layer</w:t>
            </w:r>
          </w:p>
        </w:tc>
        <w:tc>
          <w:tcPr>
            <w:tcW w:type="dxa" w:w="4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3 agents: Knowledge, Investigation, Reporting.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Each receives only the business context the requesting user is authorised to see.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Every output requires human review before use.</w:t>
            </w:r>
          </w:p>
        </w:tc>
        <w:tc>
          <w:tcPr>
            <w:tcW w:type="dxa" w:w="3138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AI (minimal risk)</w:t>
            </w:r>
          </w:p>
        </w:tc>
      </w:tr>
    </w:tbl>
    <w:p>
      <w:pPr>
        <w:spacing w:after="280" w:before="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/>
      </w:r>
    </w:p>
    <w:p>
      <w:pPr>
        <w:pBdr>
          <w:bottom w:val="single" w:color="D8DCE8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2C3E6B"/>
          <w:sz w:val="24"/>
          <w:szCs w:val="24"/>
        </w:rPr>
        <w:t xml:space="preserve">4.  AI agents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4238"/>
      </w:tblGrid>
      <w:tr>
        <w:tc>
          <w:tcPr>
            <w:tcW w:type="dxa" w:w="2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1A1F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34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1A1F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answers</w:t>
            </w:r>
          </w:p>
        </w:tc>
        <w:tc>
          <w:tcPr>
            <w:tcW w:type="dxa" w:w="4238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1A1F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value</w:t>
            </w:r>
          </w:p>
        </w:tc>
      </w:tr>
      <w:tr>
        <w:tc>
          <w:tcPr>
            <w:tcW w:type="dxa" w:w="2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Knowledge Agent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Fast access to operational knowledge</w:t>
            </w:r>
          </w:p>
        </w:tc>
        <w:tc>
          <w:tcPr>
            <w:tcW w:type="dxa" w:w="34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Which system holds downtime data?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How is OEE calculated here?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What does ISO 9001 require for this report field?</w:t>
            </w:r>
          </w:p>
        </w:tc>
        <w:tc>
          <w:tcPr>
            <w:tcW w:type="dxa" w:w="4238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Reduces dependency on 1–2 key experts.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New team members get answers in seconds.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Institutional knowledge is retained when people leave.</w:t>
            </w:r>
          </w:p>
        </w:tc>
      </w:tr>
      <w:tr>
        <w:tc>
          <w:tcPr>
            <w:tcW w:type="dxa" w:w="2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Investigation Agent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Root cause support</w:t>
            </w:r>
          </w:p>
        </w:tc>
        <w:tc>
          <w:tcPr>
            <w:tcW w:type="dxa" w:w="34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Why did rework on L3 increase last week?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Were there similar incidents in the past 6 months?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What changed before the Tuesday downtime?</w:t>
            </w:r>
          </w:p>
        </w:tc>
        <w:tc>
          <w:tcPr>
            <w:tcW w:type="dxa" w:w="4238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Cuts investigation time from hours to minutes.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Surfaces correlated events the manual process misses.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Every finding is traceable to source data.</w:t>
            </w:r>
          </w:p>
        </w:tc>
      </w:tr>
      <w:tr>
        <w:tc>
          <w:tcPr>
            <w:tcW w:type="dxa" w:w="2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Reporting Agent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Automated report preparation</w:t>
            </w:r>
          </w:p>
        </w:tc>
        <w:tc>
          <w:tcPr>
            <w:tcW w:type="dxa" w:w="34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ISO 9001 quality reports.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Management summaries and shift handovers.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Audit preparation packages.</w:t>
            </w:r>
          </w:p>
        </w:tc>
        <w:tc>
          <w:tcPr>
            <w:tcW w:type="dxa" w:w="4238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Report preparation time drops from days to hours.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Output fields match ISO 9001 requirements directly.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Audit evidence is consistent and verifiable.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518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</w:tcPr>
          <w:p/>
        </w:tc>
        <w:tc>
          <w:tcPr>
            <w:tcW w:type="dxa" w:w="95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F2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3D1A15"/>
                <w:sz w:val="20"/>
                <w:szCs w:val="20"/>
              </w:rPr>
              <w:t xml:space="preserve">Example: a user asks “Why did rework increase on Line 3 last week?” The system checks permissions, selects relevant data, calculates KPIs, builds a context package (rework 3.2% → 7.4%, torque alarms +38%, maintenance on Tuesday, similar event in March), and hands it to the Investigation Agent. The agent responds. A human reviews before any action is taken.</w:t>
            </w:r>
          </w:p>
        </w:tc>
      </w:tr>
    </w:tbl>
    <w:p>
      <w:pPr>
        <w:spacing w:after="280" w:before="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/>
      </w:r>
    </w:p>
    <w:p>
      <w:pPr>
        <w:pBdr>
          <w:bottom w:val="single" w:color="D8DCE8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2C3E6B"/>
          <w:sz w:val="24"/>
          <w:szCs w:val="24"/>
        </w:rPr>
        <w:t xml:space="preserve">5.  Data flow and GDPR controls</w:t>
      </w:r>
    </w:p>
    <w:p>
      <w:pPr>
        <w:spacing w:after="140" w:before="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The AI receives aggregated, pre-filtered business context only. The sequence for every query:</w:t>
      </w:r>
    </w:p>
    <w:p>
      <w:pPr>
        <w:spacing w:after="60" w:before="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300"/>
        <w:gridCol w:w="4838"/>
      </w:tblGrid>
      <w:tr>
        <w:tc>
          <w:tcPr>
            <w:tcW w:type="dxa" w:w="5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1A1F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1A1F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838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1A1F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GDPR control</w:t>
            </w:r>
          </w:p>
        </w:tc>
      </w:tr>
      <w:tr>
        <w:tc>
          <w:tcPr>
            <w:tcW w:type="dxa" w:w="5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1</w:t>
            </w:r>
          </w:p>
        </w:tc>
        <w:tc>
          <w:tcPr>
            <w:tcW w:type="dxa" w:w="4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1F2E"/>
                <w:sz w:val="22"/>
                <w:szCs w:val="22"/>
              </w:rPr>
              <w:t xml:space="preserve">Permission and NDA check</w:t>
            </w:r>
          </w:p>
        </w:tc>
        <w:tc>
          <w:tcPr>
            <w:tcW w:type="dxa" w:w="4838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Request blocked if user lacks authorisation for the requested data scope.</w:t>
            </w:r>
          </w:p>
        </w:tc>
      </w:tr>
      <w:tr>
        <w:tc>
          <w:tcPr>
            <w:tcW w:type="dxa" w:w="5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2</w:t>
            </w:r>
          </w:p>
        </w:tc>
        <w:tc>
          <w:tcPr>
            <w:tcW w:type="dxa" w:w="4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1F2E"/>
                <w:sz w:val="22"/>
                <w:szCs w:val="22"/>
              </w:rPr>
              <w:t xml:space="preserve">Relevant data selection</w:t>
            </w:r>
          </w:p>
        </w:tc>
        <w:tc>
          <w:tcPr>
            <w:tcW w:type="dxa" w:w="4838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Only records within the user's role scope are retrieved. Raw telemetry stays in the local store.</w:t>
            </w:r>
          </w:p>
        </w:tc>
      </w:tr>
      <w:tr>
        <w:tc>
          <w:tcPr>
            <w:tcW w:type="dxa" w:w="5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3</w:t>
            </w:r>
          </w:p>
        </w:tc>
        <w:tc>
          <w:tcPr>
            <w:tcW w:type="dxa" w:w="4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1F2E"/>
                <w:sz w:val="22"/>
                <w:szCs w:val="22"/>
              </w:rPr>
              <w:t xml:space="preserve">KPI calculation and aggregation</w:t>
            </w:r>
          </w:p>
        </w:tc>
        <w:tc>
          <w:tcPr>
            <w:tcW w:type="dxa" w:w="4838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Aggregation removes individual-level data before the AI sees anything.</w:t>
            </w:r>
          </w:p>
        </w:tc>
      </w:tr>
      <w:tr>
        <w:tc>
          <w:tcPr>
            <w:tcW w:type="dxa" w:w="5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4</w:t>
            </w:r>
          </w:p>
        </w:tc>
        <w:tc>
          <w:tcPr>
            <w:tcW w:type="dxa" w:w="4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1F2E"/>
                <w:sz w:val="22"/>
                <w:szCs w:val="22"/>
              </w:rPr>
              <w:t xml:space="preserve">Context package assembly</w:t>
            </w:r>
          </w:p>
        </w:tc>
        <w:tc>
          <w:tcPr>
            <w:tcW w:type="dxa" w:w="4838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Employee-linked records (log files, work-time data) are pseudonymized or excluded per GDPR Art. 25 data minimisation.</w:t>
            </w:r>
          </w:p>
        </w:tc>
      </w:tr>
      <w:tr>
        <w:tc>
          <w:tcPr>
            <w:tcW w:type="dxa" w:w="5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5</w:t>
            </w:r>
          </w:p>
        </w:tc>
        <w:tc>
          <w:tcPr>
            <w:tcW w:type="dxa" w:w="4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1F2E"/>
                <w:sz w:val="22"/>
                <w:szCs w:val="22"/>
              </w:rPr>
              <w:t xml:space="preserve">LLM analysis</w:t>
            </w:r>
          </w:p>
        </w:tc>
        <w:tc>
          <w:tcPr>
            <w:tcW w:type="dxa" w:w="4838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AI receives business context only. No raw production databases. No customer records.</w:t>
            </w:r>
          </w:p>
        </w:tc>
      </w:tr>
      <w:tr>
        <w:tc>
          <w:tcPr>
            <w:tcW w:type="dxa" w:w="5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6</w:t>
            </w:r>
          </w:p>
        </w:tc>
        <w:tc>
          <w:tcPr>
            <w:tcW w:type="dxa" w:w="4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1F2E"/>
                <w:sz w:val="22"/>
                <w:szCs w:val="22"/>
              </w:rPr>
              <w:t xml:space="preserve">Human review</w:t>
            </w:r>
          </w:p>
        </w:tc>
        <w:tc>
          <w:tcPr>
            <w:tcW w:type="dxa" w:w="4838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Every AI output is reviewed by an authorised person before it is used or stored.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F2E"/>
          <w:sz w:val="22"/>
          <w:szCs w:val="22"/>
        </w:rPr>
        <w:t xml:space="preserve">Personal data inventory</w:t>
      </w:r>
    </w:p>
    <w:p>
      <w:pPr>
        <w:spacing w:after="140" w:before="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The platform processes limited personal data: user accounts, employee names in maintenance records, shift assignments, and log files. All fall under legitimate interest (Art. 6(1)(f) GDPR). Log files and work-time data are treated as employee-protected and handled with role-based access, pseudonymization where required, and defined retention limits.</w:t>
      </w:r>
    </w:p>
    <w:p>
      <w:pPr>
        <w:spacing w:after="140" w:before="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A DPIA will be conducted before any pilot launch. The document will cover data flows, retention periods, and the employee protection analysis for log and work-time data.</w:t>
      </w:r>
    </w:p>
    <w:p>
      <w:pPr>
        <w:spacing w:after="280" w:before="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/>
      </w:r>
    </w:p>
    <w:p>
      <w:pPr>
        <w:pBdr>
          <w:bottom w:val="single" w:color="D8DCE8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2C3E6B"/>
          <w:sz w:val="24"/>
          <w:szCs w:val="24"/>
        </w:rPr>
        <w:t xml:space="preserve">6.  NDA and intellectual property</w:t>
      </w:r>
    </w:p>
    <w:p>
      <w:pPr>
        <w:spacing w:after="140" w:before="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Vulcan Werk operates under customer NDAs and OEM agreements. The platform is built around 3 controls:</w:t>
      </w:r>
    </w:p>
    <w:p>
      <w:pPr>
        <w:spacing w:after="60" w:before="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1A1F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6838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1A1F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</w:tr>
      <w:tr>
        <w:tc>
          <w:tcPr>
            <w:tcW w:type="dxa" w:w="28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C3E6B"/>
                <w:sz w:val="22"/>
                <w:szCs w:val="22"/>
              </w:rPr>
              <w:t xml:space="preserve">On-premises deployment</w:t>
            </w:r>
          </w:p>
        </w:tc>
        <w:tc>
          <w:tcPr>
            <w:tcW w:type="dxa" w:w="6838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1F2E"/>
                <w:sz w:val="22"/>
                <w:szCs w:val="22"/>
              </w:rPr>
              <w:t xml:space="preserve">Nothing runs in the cloud. Raw data never leaves the building. The local store is the only copy.</w:t>
            </w:r>
          </w:p>
        </w:tc>
      </w:tr>
      <w:tr>
        <w:tc>
          <w:tcPr>
            <w:tcW w:type="dxa" w:w="28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C3E6B"/>
                <w:sz w:val="22"/>
                <w:szCs w:val="22"/>
              </w:rPr>
              <w:t xml:space="preserve">Document classification</w:t>
            </w:r>
          </w:p>
        </w:tc>
        <w:tc>
          <w:tcPr>
            <w:tcW w:type="dxa" w:w="6838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1F2E"/>
                <w:sz w:val="22"/>
                <w:szCs w:val="22"/>
              </w:rPr>
              <w:t xml:space="preserve">Every document in the knowledge base is tagged with an NDA level. The AI retrieves only what the requesting user is cleared to access.</w:t>
            </w:r>
          </w:p>
        </w:tc>
      </w:tr>
      <w:tr>
        <w:tc>
          <w:tcPr>
            <w:tcW w:type="dxa" w:w="28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C3E6B"/>
                <w:sz w:val="22"/>
                <w:szCs w:val="22"/>
              </w:rPr>
              <w:t xml:space="preserve">Full audit trail</w:t>
            </w:r>
          </w:p>
        </w:tc>
        <w:tc>
          <w:tcPr>
            <w:tcW w:type="dxa" w:w="6838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1F2E"/>
                <w:sz w:val="22"/>
                <w:szCs w:val="22"/>
              </w:rPr>
              <w:t xml:space="preserve">Every AI request, document retrieved, and response generated is logged. Authorised personnel can trace any output back to its source.</w:t>
            </w:r>
          </w:p>
        </w:tc>
      </w:tr>
    </w:tbl>
    <w:p>
      <w:pPr>
        <w:spacing w:after="280" w:before="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/>
      </w:r>
    </w:p>
    <w:p>
      <w:pPr>
        <w:pBdr>
          <w:bottom w:val="single" w:color="D8DCE8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2C3E6B"/>
          <w:sz w:val="24"/>
          <w:szCs w:val="24"/>
        </w:rPr>
        <w:t xml:space="preserve">7.  EU AI Act classification</w:t>
      </w:r>
    </w:p>
    <w:p>
      <w:pPr>
        <w:spacing w:after="60" w:before="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1A1F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6838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1A1F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28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F2E"/>
                <w:sz w:val="22"/>
                <w:szCs w:val="22"/>
              </w:rPr>
              <w:t xml:space="preserve">Risk tier</w:t>
            </w:r>
          </w:p>
        </w:tc>
        <w:tc>
          <w:tcPr>
            <w:tcW w:type="dxa" w:w="6838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Minimal risk</w:t>
            </w:r>
          </w:p>
        </w:tc>
      </w:tr>
      <w:tr>
        <w:tc>
          <w:tcPr>
            <w:tcW w:type="dxa" w:w="28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1F2E"/>
                <w:sz w:val="22"/>
                <w:szCs w:val="22"/>
              </w:rPr>
              <w:t xml:space="preserve">Justification</w:t>
            </w:r>
          </w:p>
        </w:tc>
        <w:tc>
          <w:tcPr>
            <w:tcW w:type="dxa" w:w="6838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No automated decisions — human review required at every output.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No machine or physical control.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No employee evaluation or scoring.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No safety-critical operations.</w:t>
            </w:r>
          </w:p>
        </w:tc>
      </w:tr>
      <w:tr>
        <w:tc>
          <w:tcPr>
            <w:tcW w:type="dxa" w:w="28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1F2E"/>
                <w:sz w:val="22"/>
                <w:szCs w:val="22"/>
              </w:rPr>
              <w:t xml:space="preserve">Role allocation</w:t>
            </w:r>
          </w:p>
        </w:tc>
        <w:tc>
          <w:tcPr>
            <w:tcW w:type="dxa" w:w="6838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1F2E"/>
                <w:sz w:val="22"/>
                <w:szCs w:val="22"/>
              </w:rPr>
              <w:t xml:space="preserve">SilverTrust AI Consulting = Provider.  Vulcan Werk = Deployer.</w:t>
            </w:r>
          </w:p>
        </w:tc>
      </w:tr>
      <w:tr>
        <w:tc>
          <w:tcPr>
            <w:tcW w:type="dxa" w:w="28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1F2E"/>
                <w:sz w:val="22"/>
                <w:szCs w:val="22"/>
              </w:rPr>
              <w:t xml:space="preserve">Transparency</w:t>
            </w:r>
          </w:p>
        </w:tc>
        <w:tc>
          <w:tcPr>
            <w:tcW w:type="dxa" w:w="6838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1F2E"/>
                <w:sz w:val="22"/>
                <w:szCs w:val="22"/>
              </w:rPr>
              <w:t xml:space="preserve">Users are informed they are interacting with an AI system at every session. Output is labelled as AI-generated until a human confirms it.</w:t>
            </w:r>
          </w:p>
        </w:tc>
      </w:tr>
    </w:tbl>
    <w:p>
      <w:pPr>
        <w:spacing w:after="280" w:before="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/>
      </w:r>
    </w:p>
    <w:p>
      <w:pPr>
        <w:pBdr>
          <w:bottom w:val="single" w:color="D8DCE8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2C3E6B"/>
          <w:sz w:val="24"/>
          <w:szCs w:val="24"/>
        </w:rPr>
        <w:t xml:space="preserve">8.  AI monitoring with LangSmith</w:t>
      </w:r>
    </w:p>
    <w:p>
      <w:pPr>
        <w:spacing w:after="140" w:before="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LangSmith monitors the AI system, not the production systems. Every AI action is logged and reviewable.</w:t>
      </w:r>
    </w:p>
    <w:p>
      <w:pPr>
        <w:spacing w:after="60" w:before="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1A1F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tracked</w:t>
            </w:r>
          </w:p>
        </w:tc>
        <w:tc>
          <w:tcPr>
            <w:tcW w:type="dxa" w:w="6838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1A1F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28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C3E6B"/>
                <w:sz w:val="22"/>
                <w:szCs w:val="22"/>
              </w:rPr>
              <w:t xml:space="preserve">User request</w:t>
            </w:r>
          </w:p>
        </w:tc>
        <w:tc>
          <w:tcPr>
            <w:tcW w:type="dxa" w:w="6838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1F2E"/>
                <w:sz w:val="22"/>
                <w:szCs w:val="22"/>
              </w:rPr>
              <w:t xml:space="preserve">Full text of every query, timestamp, and user role.</w:t>
            </w:r>
          </w:p>
        </w:tc>
      </w:tr>
      <w:tr>
        <w:tc>
          <w:tcPr>
            <w:tcW w:type="dxa" w:w="28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C3E6B"/>
                <w:sz w:val="22"/>
                <w:szCs w:val="22"/>
              </w:rPr>
              <w:t xml:space="preserve">Documents retrieved</w:t>
            </w:r>
          </w:p>
        </w:tc>
        <w:tc>
          <w:tcPr>
            <w:tcW w:type="dxa" w:w="6838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1F2E"/>
                <w:sz w:val="22"/>
                <w:szCs w:val="22"/>
              </w:rPr>
              <w:t xml:space="preserve">Which records the system selected for the context package.</w:t>
            </w:r>
          </w:p>
        </w:tc>
      </w:tr>
      <w:tr>
        <w:tc>
          <w:tcPr>
            <w:tcW w:type="dxa" w:w="28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C3E6B"/>
                <w:sz w:val="22"/>
                <w:szCs w:val="22"/>
              </w:rPr>
              <w:t xml:space="preserve">Generated response</w:t>
            </w:r>
          </w:p>
        </w:tc>
        <w:tc>
          <w:tcPr>
            <w:tcW w:type="dxa" w:w="6838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1F2E"/>
                <w:sz w:val="22"/>
                <w:szCs w:val="22"/>
              </w:rPr>
              <w:t xml:space="preserve">The exact output the AI produced before human review.</w:t>
            </w:r>
          </w:p>
        </w:tc>
      </w:tr>
      <w:tr>
        <w:tc>
          <w:tcPr>
            <w:tcW w:type="dxa" w:w="28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C3E6B"/>
                <w:sz w:val="22"/>
                <w:szCs w:val="22"/>
              </w:rPr>
              <w:t xml:space="preserve">Human review outcome</w:t>
            </w:r>
          </w:p>
        </w:tc>
        <w:tc>
          <w:tcPr>
            <w:tcW w:type="dxa" w:w="6838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1F2E"/>
                <w:sz w:val="22"/>
                <w:szCs w:val="22"/>
              </w:rPr>
              <w:t xml:space="preserve">Whether the output was approved, rejected, or modified.</w:t>
            </w:r>
          </w:p>
        </w:tc>
      </w:tr>
      <w:tr>
        <w:tc>
          <w:tcPr>
            <w:tcW w:type="dxa" w:w="28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C3E6B"/>
                <w:sz w:val="22"/>
                <w:szCs w:val="22"/>
              </w:rPr>
              <w:t xml:space="preserve">Latency and errors</w:t>
            </w:r>
          </w:p>
        </w:tc>
        <w:tc>
          <w:tcPr>
            <w:tcW w:type="dxa" w:w="6838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1F2E"/>
                <w:sz w:val="22"/>
                <w:szCs w:val="22"/>
              </w:rPr>
              <w:t xml:space="preserve">System health and performance baseline for each agent.</w:t>
            </w:r>
          </w:p>
        </w:tc>
      </w:tr>
      <w:tr>
        <w:tc>
          <w:tcPr>
            <w:tcW w:type="dxa" w:w="28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C3E6B"/>
                <w:sz w:val="22"/>
                <w:szCs w:val="22"/>
              </w:rPr>
              <w:t xml:space="preserve">User feedback</w:t>
            </w:r>
          </w:p>
        </w:tc>
        <w:tc>
          <w:tcPr>
            <w:tcW w:type="dxa" w:w="6838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1F2E"/>
                <w:sz w:val="22"/>
                <w:szCs w:val="22"/>
              </w:rPr>
              <w:t xml:space="preserve">Thumbs-up / thumbs-down per output, fed back into evaluation scores.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518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</w:tcPr>
          <w:p/>
        </w:tc>
        <w:tc>
          <w:tcPr>
            <w:tcW w:type="dxa" w:w="95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F2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3D1A15"/>
                <w:sz w:val="20"/>
                <w:szCs w:val="20"/>
              </w:rPr>
              <w:t xml:space="preserve">Every AI-generated report, recommendation, and investigation can be traced back to its source and reviewed by authorised personnel. If a regulator asks what the system did on a specific date, the full trace is available in LangSmith.</w:t>
            </w:r>
          </w:p>
        </w:tc>
      </w:tr>
    </w:tbl>
    <w:p>
      <w:pPr>
        <w:spacing w:after="280" w:before="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/>
      </w:r>
    </w:p>
    <w:p>
      <w:pPr>
        <w:pBdr>
          <w:bottom w:val="single" w:color="D8DCE8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2C3E6B"/>
          <w:sz w:val="24"/>
          <w:szCs w:val="24"/>
        </w:rPr>
        <w:t xml:space="preserve">9.  Recommended next steps</w:t>
      </w:r>
    </w:p>
    <w:p>
      <w:pPr>
        <w:spacing w:after="60" w:before="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4000"/>
        <w:gridCol w:w="2438"/>
      </w:tblGrid>
      <w:tr>
        <w:tc>
          <w:tcPr>
            <w:tcW w:type="dxa" w:w="6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1A1F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1A1F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1A1F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2438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1A1F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6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1</w:t>
            </w:r>
          </w:p>
        </w:tc>
        <w:tc>
          <w:tcPr>
            <w:tcW w:type="dxa" w:w="26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F2E"/>
                <w:sz w:val="22"/>
                <w:szCs w:val="22"/>
              </w:rPr>
              <w:t xml:space="preserve">Schema mapping workshop</w:t>
            </w:r>
          </w:p>
        </w:tc>
        <w:tc>
          <w:tcPr>
            <w:tcW w:type="dxa" w:w="4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1F2E"/>
                <w:sz w:val="22"/>
                <w:szCs w:val="22"/>
              </w:rPr>
              <w:t xml:space="preserve">Document all 5 source schemas; confirm DEV-network access method for A, B, C.</w:t>
            </w:r>
          </w:p>
        </w:tc>
        <w:tc>
          <w:tcPr>
            <w:tcW w:type="dxa" w:w="2438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Markus + SilverTrust</w:t>
            </w:r>
          </w:p>
        </w:tc>
      </w:tr>
      <w:tr>
        <w:tc>
          <w:tcPr>
            <w:tcW w:type="dxa" w:w="6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2</w:t>
            </w:r>
          </w:p>
        </w:tc>
        <w:tc>
          <w:tcPr>
            <w:tcW w:type="dxa" w:w="26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F2E"/>
                <w:sz w:val="22"/>
                <w:szCs w:val="22"/>
              </w:rPr>
              <w:t xml:space="preserve">DPIA</w:t>
            </w:r>
          </w:p>
        </w:tc>
        <w:tc>
          <w:tcPr>
            <w:tcW w:type="dxa" w:w="4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1F2E"/>
                <w:sz w:val="22"/>
                <w:szCs w:val="22"/>
              </w:rPr>
              <w:t xml:space="preserve">Complete data protection impact assessment covering employee-protected records and retention periods.</w:t>
            </w:r>
          </w:p>
        </w:tc>
        <w:tc>
          <w:tcPr>
            <w:tcW w:type="dxa" w:w="2438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Ellen / Ingrid + SilverTrust</w:t>
            </w:r>
          </w:p>
        </w:tc>
      </w:tr>
      <w:tr>
        <w:tc>
          <w:tcPr>
            <w:tcW w:type="dxa" w:w="6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3</w:t>
            </w:r>
          </w:p>
        </w:tc>
        <w:tc>
          <w:tcPr>
            <w:tcW w:type="dxa" w:w="26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F2E"/>
                <w:sz w:val="22"/>
                <w:szCs w:val="22"/>
              </w:rPr>
              <w:t xml:space="preserve">L1 pilot</w:t>
            </w:r>
          </w:p>
        </w:tc>
        <w:tc>
          <w:tcPr>
            <w:tcW w:type="dxa" w:w="4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1F2E"/>
                <w:sz w:val="22"/>
                <w:szCs w:val="22"/>
              </w:rPr>
              <w:t xml:space="preserve">Deploy ingestion layer and Knowledge Agent on Line 1 only. Measure investigation time and alert latency.</w:t>
            </w:r>
          </w:p>
        </w:tc>
        <w:tc>
          <w:tcPr>
            <w:tcW w:type="dxa" w:w="2438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Mira + SilverTrust</w:t>
            </w:r>
          </w:p>
        </w:tc>
      </w:tr>
      <w:tr>
        <w:tc>
          <w:tcPr>
            <w:tcW w:type="dxa" w:w="6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4</w:t>
            </w:r>
          </w:p>
        </w:tc>
        <w:tc>
          <w:tcPr>
            <w:tcW w:type="dxa" w:w="26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F2E"/>
                <w:sz w:val="22"/>
                <w:szCs w:val="22"/>
              </w:rPr>
              <w:t xml:space="preserve">Shadow mode validation</w:t>
            </w:r>
          </w:p>
        </w:tc>
        <w:tc>
          <w:tcPr>
            <w:tcW w:type="dxa" w:w="4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1F2E"/>
                <w:sz w:val="22"/>
                <w:szCs w:val="22"/>
              </w:rPr>
              <w:t xml:space="preserve">Run Investigation Agent in parallel for 4 weeks. Moderator reviews all outputs. Adjust thresholds before go-live.</w:t>
            </w:r>
          </w:p>
        </w:tc>
        <w:tc>
          <w:tcPr>
            <w:tcW w:type="dxa" w:w="2438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Mira + Markus</w:t>
            </w:r>
          </w:p>
        </w:tc>
      </w:tr>
      <w:tr>
        <w:tc>
          <w:tcPr>
            <w:tcW w:type="dxa" w:w="6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5</w:t>
            </w:r>
          </w:p>
        </w:tc>
        <w:tc>
          <w:tcPr>
            <w:tcW w:type="dxa" w:w="26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F2E"/>
                <w:sz w:val="22"/>
                <w:szCs w:val="22"/>
              </w:rPr>
              <w:t xml:space="preserve">Full rollout</w:t>
            </w:r>
          </w:p>
        </w:tc>
        <w:tc>
          <w:tcPr>
            <w:tcW w:type="dxa" w:w="4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1F2E"/>
                <w:sz w:val="22"/>
                <w:szCs w:val="22"/>
              </w:rPr>
              <w:t xml:space="preserve">Extend to L2, L3 and activate Reporting Agent once L1 pilot meets agreed KPIs.</w:t>
            </w:r>
          </w:p>
        </w:tc>
        <w:tc>
          <w:tcPr>
            <w:tcW w:type="dxa" w:w="2438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All stakeholders</w:t>
            </w:r>
          </w:p>
        </w:tc>
      </w:tr>
    </w:tbl>
    <w:p>
      <w:pPr>
        <w:spacing w:after="400" w:before="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/>
      </w:r>
    </w:p>
    <w:p>
      <w:pPr>
        <w:pBdr>
          <w:top w:val="single" w:color="C0392B" w:sz="8" w:space="8"/>
        </w:pBdr>
        <w:spacing w:after="60" w:before="20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SilverTrust AI Consulting  —  Confidential  —  June 2026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This document is prepared exclusively for Vulcan Werk. It may not be shared or reproduced without written consent from SilverTrust AI Consulting.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CE8" w:sz="4" w:space="6"/>
      </w:pBd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Confidential  —  June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8" w:sz="4" w:space="6"/>
      </w:pBdr>
    </w:pPr>
    <w:r>
      <w:rPr>
        <w:rFonts w:ascii="Arial" w:cs="Arial" w:eastAsia="Arial" w:hAnsi="Arial"/>
        <w:color w:val="6B7280"/>
        <w:sz w:val="18"/>
        <w:szCs w:val="18"/>
      </w:rPr>
      <w:t xml:space="preserve">Vulcan Insight  —  Solution Proposal</w:t>
    </w:r>
    <w:r>
      <w:rPr>
        <w:rFonts w:ascii="Arial" w:cs="Arial" w:eastAsia="Arial" w:hAnsi="Arial"/>
        <w:color w:val="C0392B"/>
        <w:sz w:val="18"/>
        <w:szCs w:val="18"/>
      </w:rPr>
      <w:t xml:space="preserve">   |   SilverTrust AI Consulting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F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4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400"/>
      <w:outlineLvl w:val="1"/>
    </w:pPr>
    <w:rPr>
      <w:rFonts w:ascii="Arial" w:cs="Arial" w:eastAsia="Arial" w:hAnsi="Arial"/>
      <w:b/>
      <w:bCs/>
      <w:color w:val="2C3E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2026-06-01T15:10:09.764Z</dcterms:created>
  <dcterms:modified xsi:type="dcterms:W3CDTF">2026-06-01T15:10:09.778Z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