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C0392B"/>
          <w:sz w:val="72"/>
          <w:szCs w:val="72"/>
        </w:rPr>
        <w:t xml:space="preserve">VULCAN INSIGHT</w:t>
      </w:r>
    </w:p>
    <w:p>
      <w:pPr>
        <w:spacing w:after="80" w:before="0"/>
      </w:pPr>
      <w:r>
        <w:rPr>
          <w:rFonts w:ascii="Arial" w:cs="Arial" w:eastAsia="Arial" w:hAnsi="Arial"/>
          <w:color w:val="1A1F2E"/>
          <w:sz w:val="36"/>
          <w:szCs w:val="36"/>
        </w:rPr>
        <w:t xml:space="preserve">AI Solution Proposal</w:t>
      </w:r>
    </w:p>
    <w:p>
      <w:pPr>
        <w:spacing w:after="60" w:before="0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Prepared for Vulcan Werk  •  June 2026</w:t>
      </w:r>
    </w:p>
    <w:p>
      <w:pPr>
        <w:spacing w:after="600" w:before="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SilverTrust AI Consulting</w:t>
      </w:r>
    </w:p>
    <w:p>
      <w:pPr>
        <w:pBdr>
          <w:bottom w:val="single" w:color="C0392B" w:sz="16" w:space="0"/>
        </w:pBdr>
        <w:spacing w:after="50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spacing w:after="20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6B7280"/>
                <w:sz w:val="18"/>
                <w:szCs w:val="18"/>
              </w:rPr>
              <w:t xml:space="preserve">Status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Confidential</w:t>
            </w:r>
          </w:p>
        </w:tc>
        <w:tc>
          <w:tcPr>
            <w:tcW w:type="dxa" w:w="312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6B7280"/>
                <w:sz w:val="18"/>
                <w:szCs w:val="18"/>
              </w:rPr>
              <w:t xml:space="preserve">Version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1.0 — Draft for Review</w:t>
            </w:r>
          </w:p>
        </w:tc>
        <w:tc>
          <w:tcPr>
            <w:tcW w:type="dxa" w:w="312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6B7280"/>
                <w:sz w:val="18"/>
                <w:szCs w:val="18"/>
              </w:rPr>
              <w:t xml:space="preserve">Contact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SilverTrust AI Consulting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Bdr>
          <w:bottom w:val="single" w:color="D8DCE8" w:sz="8" w:space="4"/>
        </w:pBdr>
        <w:spacing w:after="140" w:before="480"/>
      </w:pPr>
      <w:r>
        <w:rPr>
          <w:rFonts w:ascii="Arial" w:cs="Arial" w:eastAsia="Arial" w:hAnsi="Arial"/>
          <w:b/>
          <w:bCs/>
          <w:color w:val="2C3E6B"/>
          <w:sz w:val="26"/>
          <w:szCs w:val="26"/>
        </w:rPr>
        <w:t xml:space="preserve">1.  Executive summary</w:t>
      </w:r>
    </w:p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>Vulcan Werk's production lines generate data across 5 separate systems with incompatible schemas. Getting a complete picture requires one person to assemble it by hand — which means defects, outages, and rework are found after the damage is already done. ISO 9001 audit preparation runs through the same bottleneck.</w:t>
      </w:r>
    </w:p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>Vulcan Insight fixes this with an on-prem data layer that unifies all 5 sources, routes clean business context to 3 AI agents, and produces audit-ready records — without moving raw data off-site or taking any automated action on the shop floor.</w:t>
      </w:r>
    </w:p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>The system is classified as minimal risk under the EU AI Act. Every AI output requires human review before use. Log and work-time data that touches employee protection under GDPR is handled at ingestion with role-based access and pseudonymization.</w:t>
      </w:r>
    </w:p>
    <w:p>
      <w:pPr>
        <w:spacing w:after="8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9538"/>
      </w:tblGrid>
      <w:tr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392B" w:val="clear"/>
          </w:tcPr>
          <w:p/>
        </w:tc>
        <w:tc>
          <w:tcPr>
            <w:tcW w:type="dxa" w:w="9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F2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D1A15"/>
                <w:sz w:val="20"/>
                <w:szCs w:val="20"/>
              </w:rPr>
              <w:t xml:space="preserve">The AI receives only filtered, pre-aggregated context — never raw production databases or customer records. Every output is traceable to its source.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pBdr>
          <w:bottom w:val="single" w:color="D8DCE8" w:sz="8" w:space="4"/>
        </w:pBdr>
        <w:spacing w:after="140" w:before="480"/>
      </w:pPr>
      <w:r>
        <w:rPr>
          <w:rFonts w:ascii="Arial" w:cs="Arial" w:eastAsia="Arial" w:hAnsi="Arial"/>
          <w:b/>
          <w:bCs/>
          <w:color w:val="2C3E6B"/>
          <w:sz w:val="26"/>
          <w:szCs w:val="26"/>
        </w:rPr>
        <w:t xml:space="preserve">2.  The problem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4138"/>
      </w:tblGrid>
      <w:tr>
        <w:tc>
          <w:tcPr>
            <w:tcW w:type="dxa" w:w="1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7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Pain point</w:t>
            </w:r>
          </w:p>
        </w:tc>
        <w:tc>
          <w:tcPr>
            <w:tcW w:type="dxa" w:w="41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consequence</w:t>
            </w:r>
          </w:p>
        </w:tc>
      </w:tr>
      <w:tr>
        <w:tc>
          <w:tcPr>
            <w:tcW w:type="dxa" w:w="1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0"/>
                <w:szCs w:val="20"/>
              </w:rPr>
              <w:t xml:space="preserve">Mira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Production Manager</w:t>
            </w:r>
          </w:p>
        </w:tc>
        <w:tc>
          <w:tcPr>
            <w:tcW w:type="dxa" w:w="37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Data from 5 systems in different formats, assembled by hand.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Outages found after the line stops — rework cost compounds.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No live view of line performance.</w:t>
            </w:r>
          </w:p>
        </w:tc>
        <w:tc>
          <w:tcPr>
            <w:tcW w:type="dxa" w:w="41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Margins erode on every late detection.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One technician bottlenecks all reporting for 3 lines.</w:t>
            </w:r>
          </w:p>
        </w:tc>
      </w:tr>
      <w:tr>
        <w:tc>
          <w:tcPr>
            <w:tcW w:type="dxa" w:w="1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8348"/>
                <w:sz w:val="20"/>
                <w:szCs w:val="20"/>
              </w:rPr>
              <w:t xml:space="preserve">Markus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IT / Shopfloor Tech</w:t>
            </w:r>
          </w:p>
        </w:tc>
        <w:tc>
          <w:tcPr>
            <w:tcW w:type="dxa" w:w="37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3 DEV-network databases with incompatible schemas.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GDPR and NDA constraints block raw data leaving the building.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Cloud tools refused — on-prem and read-only are hard requirements.</w:t>
            </w:r>
          </w:p>
        </w:tc>
        <w:tc>
          <w:tcPr>
            <w:tcW w:type="dxa" w:w="41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Integration complexity lands on 1 person.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Any solution touching raw data externally is a non-starter.</w:t>
            </w:r>
          </w:p>
        </w:tc>
      </w:tr>
      <w:tr>
        <w:tc>
          <w:tcPr>
            <w:tcW w:type="dxa" w:w="1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7D3C98"/>
                <w:sz w:val="20"/>
                <w:szCs w:val="20"/>
              </w:rPr>
              <w:t xml:space="preserve">Ellen / Ingrid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Compliance &amp; QM</w:t>
            </w:r>
          </w:p>
        </w:tc>
        <w:tc>
          <w:tcPr>
            <w:tcW w:type="dxa" w:w="37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ISO 9001 audits need clean, timestamped, traceable records.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Log and work-time data triggers GDPR employee protection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Every flagged incident needs a named human sign-off.</w:t>
            </w:r>
          </w:p>
        </w:tc>
        <w:tc>
          <w:tcPr>
            <w:tcW w:type="dxa" w:w="41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Audit prep is slow and hard to verify against source.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Inconsistent evidence blocks certification renewals.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r>
        <w:br w:type="page"/>
      </w:r>
    </w:p>
    <w:p>
      <w:pPr>
        <w:pBdr>
          <w:bottom w:val="single" w:color="D8DCE8" w:sz="8" w:space="4"/>
        </w:pBdr>
        <w:spacing w:after="140" w:before="480"/>
      </w:pPr>
      <w:r>
        <w:rPr>
          <w:rFonts w:ascii="Arial" w:cs="Arial" w:eastAsia="Arial" w:hAnsi="Arial"/>
          <w:b/>
          <w:bCs/>
          <w:color w:val="2C3E6B"/>
          <w:sz w:val="26"/>
          <w:szCs w:val="26"/>
        </w:rPr>
        <w:t xml:space="preserve">3.  Solution architecture</w:t>
      </w:r>
    </w:p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>The platform has 4 layers. Layers 1–3 are standard software — fast, deterministic, and auditable. The AI sits only in Layer 4, and it only ever sees pre-filtered business context, not raw machine data.</w:t>
      </w:r>
    </w:p>
    <w:p>
      <w:pPr>
        <w:spacing w:after="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spacing w:after="60" w:before="60"/>
        <w:jc w:val="center"/>
      </w:pPr>
      <w:r>
        <w:drawing>
          <wp:inline distT="0" distB="0" distL="0" distR="0">
            <wp:extent cx="6477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  —  Vulcan Insight system architecture. Data flows left to right. The red dashed line marks the AI boundary.</w:t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F2E"/>
          <w:sz w:val="22"/>
          <w:szCs w:val="22"/>
        </w:rPr>
        <w:t xml:space="preserve">How the 4 layers work</w:t>
      </w:r>
    </w:p>
    <w:p>
      <w:pPr>
        <w:spacing w:after="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2400"/>
        <w:gridCol w:w="4100"/>
        <w:gridCol w:w="2838"/>
      </w:tblGrid>
      <w:tr>
        <w:tc>
          <w:tcPr>
            <w:tcW w:type="dxa" w:w="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41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2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Data sources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SAP, MES, QMS, Machine data, Maintenance records</w:t>
            </w:r>
          </w:p>
        </w:tc>
        <w:tc>
          <w:tcPr>
            <w:tcW w:type="dxa" w:w="41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5 production systems, 3 on a separate DEV network with incompatible schemas (A≠B≠C).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None are changed, modified, or written to.</w:t>
            </w:r>
          </w:p>
        </w:tc>
        <w:tc>
          <w:tcPr>
            <w:tcW w:type="dxa" w:w="2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Existing systems unchanged</w:t>
            </w:r>
          </w:p>
        </w:tc>
      </w:tr>
      <w:tr>
        <w:tc>
          <w:tcPr>
            <w:tcW w:type="dxa" w:w="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8348"/>
                <w:sz w:val="22"/>
                <w:szCs w:val="22"/>
              </w:rPr>
              <w:t xml:space="preserve">2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Ingestion &amp; security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Read-only edge adapters</w:t>
            </w:r>
          </w:p>
        </w:tc>
        <w:tc>
          <w:tcPr>
            <w:tcW w:type="dxa" w:w="41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Read-only connectors extract data without touching source schemas.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GDPR filter applied at ingestion: no PII enters the store. Employee-linked records (log files, work-time data) are pseudonymized or excluded.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NDA-level tags assigned to every document at ingestion.</w:t>
            </w:r>
          </w:p>
        </w:tc>
        <w:tc>
          <w:tcPr>
            <w:tcW w:type="dxa" w:w="2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Standard software — no AI</w:t>
            </w:r>
          </w:p>
        </w:tc>
      </w:tr>
      <w:tr>
        <w:tc>
          <w:tcPr>
            <w:tcW w:type="dxa" w:w="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3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Unified data store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Single on-prem source of truth</w:t>
            </w:r>
          </w:p>
        </w:tc>
        <w:tc>
          <w:tcPr>
            <w:tcW w:type="dxa" w:w="41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All 5 sources consolidated in one local store. Raw data never leaves the building.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KPI engine runs calculations: OEE, rework rate, downtime, on-time delivery.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Immutable audit log with timestamps. Records redacted per GDPR Art. 25 data minimisation.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Role-based access control: users only query data they are authorised to see.</w:t>
            </w:r>
          </w:p>
        </w:tc>
        <w:tc>
          <w:tcPr>
            <w:tcW w:type="dxa" w:w="2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Standard software — no AI</w:t>
            </w:r>
          </w:p>
        </w:tc>
      </w:tr>
      <w:tr>
        <w:tc>
          <w:tcPr>
            <w:tcW w:type="dxa" w:w="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7D3C98"/>
                <w:sz w:val="22"/>
                <w:szCs w:val="22"/>
              </w:rPr>
              <w:t xml:space="preserve">4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AI agent layer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Knowledge, Investigation, Reporting</w:t>
            </w:r>
          </w:p>
        </w:tc>
        <w:tc>
          <w:tcPr>
            <w:tcW w:type="dxa" w:w="41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3 agents receive only aggregated, pre-filtered business context — never raw telemetry.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Context package includes: KPI values, event correlations, relevant document excerpts.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Every output requires human review before it is used or stored.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EU AI Act classification: minimal risk (no automated decisions, no machine control).</w:t>
            </w:r>
          </w:p>
        </w:tc>
        <w:tc>
          <w:tcPr>
            <w:tcW w:type="dxa" w:w="2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AI — minimal risk (EU AI Act)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F2E"/>
          <w:sz w:val="22"/>
          <w:szCs w:val="22"/>
        </w:rPr>
        <w:t xml:space="preserve">The AI boundary — what the AI sees and what it does not</w:t>
      </w:r>
    </w:p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>The red dashed line in the diagram marks the boundary of the AI layer. This boundary is a design constraint, not a configuration option.</w:t>
      </w:r>
    </w:p>
    <w:p>
      <w:pPr>
        <w:spacing w:after="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E9F7E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8348"/>
                <w:sz w:val="21"/>
                <w:szCs w:val="21"/>
              </w:rPr>
              <w:t xml:space="preserve">The AI receives</w:t>
            </w:r>
          </w:p>
        </w:tc>
        <w:tc>
          <w:tcPr>
            <w:tcW w:type="dxa" w:w="4819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DEDEC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1"/>
                <w:szCs w:val="21"/>
              </w:rPr>
              <w:t xml:space="preserve">The AI never receives</w:t>
            </w:r>
          </w:p>
        </w:tc>
      </w:tr>
      <w:tr>
        <w:tc>
          <w:tcPr>
            <w:tcW w:type="dxa" w:w="4819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9FEF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KPI values (e.g. rework 3.2% → 7.4%)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Event correlations (e.g. torque alarms +38%)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Relevant document excerpts (NDA-checked)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Aggregated shift summaries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Maintenance event timestamps</w:t>
            </w:r>
          </w:p>
        </w:tc>
        <w:tc>
          <w:tcPr>
            <w:tcW w:type="dxa" w:w="4819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EF9F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Raw telemetry streams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Customer or OEM 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Employee names, log files, or work-time records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Complete production databases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Any data the requesting user is not authorised to see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F2E"/>
          <w:sz w:val="22"/>
          <w:szCs w:val="22"/>
        </w:rPr>
        <w:t xml:space="preserve">Example: a query through the system</w:t>
      </w:r>
    </w:p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>Mira asks: "Why did rework increase on Line 3 last week?"</w:t>
      </w:r>
    </w:p>
    <w:p>
      <w:pPr>
        <w:spacing w:after="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6638"/>
      </w:tblGrid>
      <w:tr>
        <w:tc>
          <w:tcPr>
            <w:tcW w:type="dxa" w:w="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6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Permission check</w:t>
            </w:r>
          </w:p>
        </w:tc>
        <w:tc>
          <w:tcPr>
            <w:tcW w:type="dxa" w:w="66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System verifies Mira has read access to L3 production data and the QMS for that week.</w:t>
            </w:r>
          </w:p>
        </w:tc>
      </w:tr>
      <w:tr>
        <w:tc>
          <w:tcPr>
            <w:tcW w:type="dxa" w:w="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2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Data selection</w:t>
            </w:r>
          </w:p>
        </w:tc>
        <w:tc>
          <w:tcPr>
            <w:tcW w:type="dxa" w:w="66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Retrieves L3 rework events, torque station logs, maintenance records, and QMS entries for the period.</w:t>
            </w:r>
          </w:p>
        </w:tc>
      </w:tr>
      <w:tr>
        <w:tc>
          <w:tcPr>
            <w:tcW w:type="dxa" w:w="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KPI calculation</w:t>
            </w:r>
          </w:p>
        </w:tc>
        <w:tc>
          <w:tcPr>
            <w:tcW w:type="dxa" w:w="66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KPI engine computes: rework rate moved from 3.2% to 7.4%. Torque station alarms up 38%. Maintenance intervention logged Tuesday.</w:t>
            </w:r>
          </w:p>
        </w:tc>
      </w:tr>
      <w:tr>
        <w:tc>
          <w:tcPr>
            <w:tcW w:type="dxa" w:w="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Context package</w:t>
            </w:r>
          </w:p>
        </w:tc>
        <w:tc>
          <w:tcPr>
            <w:tcW w:type="dxa" w:w="66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Aggregated numbers, event timeline, and a flag that a similar incident occurred in March are assembled. No raw data included.</w:t>
            </w:r>
          </w:p>
        </w:tc>
      </w:tr>
      <w:tr>
        <w:tc>
          <w:tcPr>
            <w:tcW w:type="dxa" w:w="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AI analysis</w:t>
            </w:r>
          </w:p>
        </w:tc>
        <w:tc>
          <w:tcPr>
            <w:tcW w:type="dxa" w:w="66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Investigation Agent receives the context package and identifies the torque station correlation. Similar March event surfaced.</w:t>
            </w:r>
          </w:p>
        </w:tc>
      </w:tr>
      <w:tr>
        <w:tc>
          <w:tcPr>
            <w:tcW w:type="dxa" w:w="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6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Human review</w:t>
            </w:r>
          </w:p>
        </w:tc>
        <w:tc>
          <w:tcPr>
            <w:tcW w:type="dxa" w:w="66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Mira reads the output, confirms the root cause, and approves the investigation report. The approval is logged in LangSmith.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F2E"/>
          <w:sz w:val="22"/>
          <w:szCs w:val="22"/>
        </w:rPr>
        <w:t xml:space="preserve">The 3 AI agents</w:t>
      </w:r>
    </w:p>
    <w:p>
      <w:pPr>
        <w:spacing w:after="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4238"/>
      </w:tblGrid>
      <w:tr>
        <w:tc>
          <w:tcPr>
            <w:tcW w:type="dxa" w:w="20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3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answers</w:t>
            </w:r>
          </w:p>
        </w:tc>
        <w:tc>
          <w:tcPr>
            <w:tcW w:type="dxa" w:w="42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</w:tr>
      <w:tr>
        <w:tc>
          <w:tcPr>
            <w:tcW w:type="dxa" w:w="20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7D3C98"/>
                <w:sz w:val="22"/>
                <w:szCs w:val="22"/>
              </w:rPr>
              <w:t xml:space="preserve">[K]  Knowledge Agent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Fast access to operational knowledge</w:t>
            </w:r>
          </w:p>
        </w:tc>
        <w:tc>
          <w:tcPr>
            <w:tcW w:type="dxa" w:w="3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Which system holds downtime data?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How is OEE calculated here?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What does ISO 9001 require for this field?</w:t>
            </w:r>
          </w:p>
        </w:tc>
        <w:tc>
          <w:tcPr>
            <w:tcW w:type="dxa" w:w="42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Reduces dependency on 1–2 key experts.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New team members get answers in seconds.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Institutional knowledge retained when people leave.</w:t>
            </w:r>
          </w:p>
        </w:tc>
      </w:tr>
      <w:tr>
        <w:tc>
          <w:tcPr>
            <w:tcW w:type="dxa" w:w="20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[I]   Investigation Agent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Root cause support with evidence</w:t>
            </w:r>
          </w:p>
        </w:tc>
        <w:tc>
          <w:tcPr>
            <w:tcW w:type="dxa" w:w="3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Why did rework on L3 increase last week?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Were there similar incidents in the past 6 months?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What changed before the Tuesday downtime?</w:t>
            </w:r>
          </w:p>
        </w:tc>
        <w:tc>
          <w:tcPr>
            <w:tcW w:type="dxa" w:w="42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Cuts investigation time from hours to minutes.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Surfaces correlated events the manual process misses.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Every finding is traceable to source data.</w:t>
            </w:r>
          </w:p>
        </w:tc>
      </w:tr>
      <w:tr>
        <w:tc>
          <w:tcPr>
            <w:tcW w:type="dxa" w:w="20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8348"/>
                <w:sz w:val="22"/>
                <w:szCs w:val="22"/>
              </w:rPr>
              <w:t xml:space="preserve">[R]  Reporting Agent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Automated report preparation</w:t>
            </w:r>
          </w:p>
        </w:tc>
        <w:tc>
          <w:tcPr>
            <w:tcW w:type="dxa" w:w="3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ISO 9001 quality reports.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Management summaries and shift handovers.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Audit preparation packages.</w:t>
            </w:r>
          </w:p>
        </w:tc>
        <w:tc>
          <w:tcPr>
            <w:tcW w:type="dxa" w:w="42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Report preparation drops from days to hours.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Output fields match ISO 9001 requirements directly.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Audit evidence is consistent and verifiable.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9538"/>
      </w:tblGrid>
      <w:tr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6B" w:val="clear"/>
          </w:tcPr>
          <w:p/>
        </w:tc>
        <w:tc>
          <w:tcPr>
            <w:tcW w:type="dxa" w:w="9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4FF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D1A15"/>
                <w:sz w:val="20"/>
                <w:szCs w:val="20"/>
              </w:rPr>
              <w:t xml:space="preserve">Every AI-generated output is labelled as AI-generated until a human confirms it. The label is removed only when an authorised person approves. That approval is timestamped and stored in the audit log.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r>
        <w:br w:type="page"/>
      </w:r>
    </w:p>
    <w:p>
      <w:pPr>
        <w:pBdr>
          <w:bottom w:val="single" w:color="D8DCE8" w:sz="8" w:space="4"/>
        </w:pBdr>
        <w:spacing w:after="140" w:before="480"/>
      </w:pPr>
      <w:r>
        <w:rPr>
          <w:rFonts w:ascii="Arial" w:cs="Arial" w:eastAsia="Arial" w:hAnsi="Arial"/>
          <w:b/>
          <w:bCs/>
          <w:color w:val="2C3E6B"/>
          <w:sz w:val="26"/>
          <w:szCs w:val="26"/>
        </w:rPr>
        <w:t xml:space="preserve">4.  GDPR and data protection</w:t>
      </w:r>
    </w:p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>The platform handles 5 categories of data, each with a defined lawful basis and control.</w:t>
      </w:r>
    </w:p>
    <w:p>
      <w:pPr>
        <w:spacing w:after="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600"/>
        <w:gridCol w:w="2438"/>
      </w:tblGrid>
      <w:tr>
        <w:tc>
          <w:tcPr>
            <w:tcW w:type="dxa" w:w="22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element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Lawful basis (Art. 6)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24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Retention</w:t>
            </w:r>
          </w:p>
        </w:tc>
      </w:tr>
      <w:tr>
        <w:tc>
          <w:tcPr>
            <w:tcW w:type="dxa" w:w="22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Machine &amp; OEE telemetry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Legitimate interest (6(1)(f))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Aggregated before AI sees it; raw data stays on-prem</w:t>
            </w:r>
          </w:p>
        </w:tc>
        <w:tc>
          <w:tcPr>
            <w:tcW w:type="dxa" w:w="24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Defined per data category</w:t>
            </w:r>
          </w:p>
        </w:tc>
      </w:tr>
      <w:tr>
        <w:tc>
          <w:tcPr>
            <w:tcW w:type="dxa" w:w="22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2E"/>
                <w:sz w:val="22"/>
                <w:szCs w:val="22"/>
              </w:rPr>
              <w:t xml:space="preserve">User accounts / names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Legitimate interest (6(1)(f))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RBAC; only own records visible</w:t>
            </w:r>
          </w:p>
        </w:tc>
        <w:tc>
          <w:tcPr>
            <w:tcW w:type="dxa" w:w="24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Duration of employment + 1 year</w:t>
            </w:r>
          </w:p>
        </w:tc>
      </w:tr>
      <w:tr>
        <w:tc>
          <w:tcPr>
            <w:tcW w:type="dxa" w:w="22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2E"/>
                <w:sz w:val="22"/>
                <w:szCs w:val="22"/>
              </w:rPr>
              <w:t xml:space="preserve">Log files &amp; work-time data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Legitimate interest (6(1)(f)) + employee protection review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Pseudonymized at ingestion; excluded from AI context</w:t>
            </w:r>
          </w:p>
        </w:tc>
        <w:tc>
          <w:tcPr>
            <w:tcW w:type="dxa" w:w="24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90 days, then anonymized</w:t>
            </w:r>
          </w:p>
        </w:tc>
      </w:tr>
      <w:tr>
        <w:tc>
          <w:tcPr>
            <w:tcW w:type="dxa" w:w="22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2E"/>
                <w:sz w:val="22"/>
                <w:szCs w:val="22"/>
              </w:rPr>
              <w:t xml:space="preserve">Maintenance records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Legitimate interest (6(1)(f))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Redacted where employee names appear</w:t>
            </w:r>
          </w:p>
        </w:tc>
        <w:tc>
          <w:tcPr>
            <w:tcW w:type="dxa" w:w="24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2 years (ISO 9001 requirement)</w:t>
            </w:r>
          </w:p>
        </w:tc>
      </w:tr>
      <w:tr>
        <w:tc>
          <w:tcPr>
            <w:tcW w:type="dxa" w:w="22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F2E"/>
                <w:sz w:val="22"/>
                <w:szCs w:val="22"/>
              </w:rPr>
              <w:t xml:space="preserve">NDA / customer data</w:t>
            </w:r>
          </w:p>
        </w:tc>
        <w:tc>
          <w:tcPr>
            <w:tcW w:type="dxa" w:w="24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Contractual obligation (6(1)(b))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NDA tag applied at ingestion; AI access blocked unless user is cleared</w:t>
            </w:r>
          </w:p>
        </w:tc>
        <w:tc>
          <w:tcPr>
            <w:tcW w:type="dxa" w:w="24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Per NDA terms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>A DPIA is required before pilot launch. It will cover: data flows for all 5 source types, retention periods, the employee protection analysis for log and work-time data, and data subject rights handling.</w:t>
      </w:r>
    </w:p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pBdr>
          <w:bottom w:val="single" w:color="D8DCE8" w:sz="8" w:space="4"/>
        </w:pBdr>
        <w:spacing w:after="140" w:before="480"/>
      </w:pPr>
      <w:r>
        <w:rPr>
          <w:rFonts w:ascii="Arial" w:cs="Arial" w:eastAsia="Arial" w:hAnsi="Arial"/>
          <w:b/>
          <w:bCs/>
          <w:color w:val="2C3E6B"/>
          <w:sz w:val="26"/>
          <w:szCs w:val="26"/>
        </w:rPr>
        <w:t xml:space="preserve">5.  NDA and intellectual property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On-premises deployment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Nothing runs in the cloud. Raw data never leaves the building. The local store is the only copy.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Document classification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Every document in the knowledge base is tagged with an NDA level. The AI retrieves only what the requesting user is cleared to access.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Full audit trail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Every AI request, document retrieved, and response generated is logged. Authorised personnel can trace any output back to its source.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pBdr>
          <w:bottom w:val="single" w:color="D8DCE8" w:sz="8" w:space="4"/>
        </w:pBdr>
        <w:spacing w:after="140" w:before="480"/>
      </w:pPr>
      <w:r>
        <w:rPr>
          <w:rFonts w:ascii="Arial" w:cs="Arial" w:eastAsia="Arial" w:hAnsi="Arial"/>
          <w:b/>
          <w:bCs/>
          <w:color w:val="2C3E6B"/>
          <w:sz w:val="26"/>
          <w:szCs w:val="26"/>
        </w:rPr>
        <w:t xml:space="preserve">6.  EU AI Act classification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Dimension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Risk tier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Minimal risk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Justification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No automated decisions — human review required at every output.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No machine or physical control.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No employee evaluation or scoring.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F2E"/>
                <w:sz w:val="20"/>
                <w:szCs w:val="20"/>
              </w:rPr>
              <w:t xml:space="preserve">No safety-critical operations.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Role allocation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SilverTrust AI Consulting = Provider.  Vulcan Werk = Deployer.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Transparency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Users are informed they are interacting with an AI system at every session. Output is labelled AI-generated until a human confirms it.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pBdr>
          <w:bottom w:val="single" w:color="D8DCE8" w:sz="8" w:space="4"/>
        </w:pBdr>
        <w:spacing w:after="140" w:before="480"/>
      </w:pPr>
      <w:r>
        <w:rPr>
          <w:rFonts w:ascii="Arial" w:cs="Arial" w:eastAsia="Arial" w:hAnsi="Arial"/>
          <w:b/>
          <w:bCs/>
          <w:color w:val="2C3E6B"/>
          <w:sz w:val="26"/>
          <w:szCs w:val="26"/>
        </w:rPr>
        <w:t xml:space="preserve">7.  AI monitoring with LangSmith</w:t>
      </w:r>
    </w:p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>LangSmith monitors the AI system, not the production systems. Every AI action is logged and reviewable.</w:t>
      </w:r>
    </w:p>
    <w:p>
      <w:pPr>
        <w:spacing w:after="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is tracked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User request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Full text of every query, timestamp, and user role.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Documents retrieved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Which records the system selected for the context package.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Generated response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The exact output the AI produced before human review.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Human review outcome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Whether the output was approved, rejected, or modified.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Latency and errors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System health and performance baseline for each agent.</w:t>
            </w:r>
          </w:p>
        </w:tc>
      </w:tr>
      <w:tr>
        <w:tc>
          <w:tcPr>
            <w:tcW w:type="dxa" w:w="28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C3E6B"/>
                <w:sz w:val="22"/>
                <w:szCs w:val="22"/>
              </w:rPr>
              <w:t xml:space="preserve">User feedback</w:t>
            </w:r>
          </w:p>
        </w:tc>
        <w:tc>
          <w:tcPr>
            <w:tcW w:type="dxa" w:w="68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Approved / rejected per output, fed back into evaluation scores.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9538"/>
      </w:tblGrid>
      <w:tr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392B" w:val="clear"/>
          </w:tcPr>
          <w:p/>
        </w:tc>
        <w:tc>
          <w:tcPr>
            <w:tcW w:type="dxa" w:w="9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F2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D1A15"/>
                <w:sz w:val="20"/>
                <w:szCs w:val="20"/>
              </w:rPr>
              <w:t xml:space="preserve">If a regulator asks what the system did on a specific date, the full trace — query, context package, AI response, and human approval — is in LangSmith.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pBdr>
          <w:bottom w:val="single" w:color="D8DCE8" w:sz="8" w:space="4"/>
        </w:pBdr>
        <w:spacing w:after="140" w:before="480"/>
      </w:pPr>
      <w:r>
        <w:rPr>
          <w:rFonts w:ascii="Arial" w:cs="Arial" w:eastAsia="Arial" w:hAnsi="Arial"/>
          <w:b/>
          <w:bCs/>
          <w:color w:val="2C3E6B"/>
          <w:sz w:val="26"/>
          <w:szCs w:val="26"/>
        </w:rPr>
        <w:t xml:space="preserve">8.  Recommended next steps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4300"/>
        <w:gridCol w:w="2238"/>
      </w:tblGrid>
      <w:tr>
        <w:tc>
          <w:tcPr>
            <w:tcW w:type="dxa" w:w="5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  <w:tc>
          <w:tcPr>
            <w:tcW w:type="dxa" w:w="22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5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Schema mapping workshop</w:t>
            </w:r>
          </w:p>
        </w:tc>
        <w:tc>
          <w:tcPr>
            <w:tcW w:type="dxa" w:w="4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Document all 5 source schemas; confirm DEV-network access method for A, B, C.</w:t>
            </w:r>
          </w:p>
        </w:tc>
        <w:tc>
          <w:tcPr>
            <w:tcW w:type="dxa" w:w="22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Markus + SilverTrust</w:t>
            </w:r>
          </w:p>
        </w:tc>
      </w:tr>
      <w:tr>
        <w:tc>
          <w:tcPr>
            <w:tcW w:type="dxa" w:w="5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2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DPIA</w:t>
            </w:r>
          </w:p>
        </w:tc>
        <w:tc>
          <w:tcPr>
            <w:tcW w:type="dxa" w:w="4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Complete data protection impact assessment covering employee-protected records and retention periods.</w:t>
            </w:r>
          </w:p>
        </w:tc>
        <w:tc>
          <w:tcPr>
            <w:tcW w:type="dxa" w:w="22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Ellen / Ingrid + SilverTrust</w:t>
            </w:r>
          </w:p>
        </w:tc>
      </w:tr>
      <w:tr>
        <w:tc>
          <w:tcPr>
            <w:tcW w:type="dxa" w:w="5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L1 pilot</w:t>
            </w:r>
          </w:p>
        </w:tc>
        <w:tc>
          <w:tcPr>
            <w:tcW w:type="dxa" w:w="4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Deploy ingestion layer and Knowledge Agent on Line 1 only. Measure investigation time and alert latency.</w:t>
            </w:r>
          </w:p>
        </w:tc>
        <w:tc>
          <w:tcPr>
            <w:tcW w:type="dxa" w:w="22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Mira + SilverTrust</w:t>
            </w:r>
          </w:p>
        </w:tc>
      </w:tr>
      <w:tr>
        <w:tc>
          <w:tcPr>
            <w:tcW w:type="dxa" w:w="5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Shadow mode (4 weeks)</w:t>
            </w:r>
          </w:p>
        </w:tc>
        <w:tc>
          <w:tcPr>
            <w:tcW w:type="dxa" w:w="4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Run Investigation Agent in parallel. Moderator reviews all outputs. Adjust thresholds before go-live.</w:t>
            </w:r>
          </w:p>
        </w:tc>
        <w:tc>
          <w:tcPr>
            <w:tcW w:type="dxa" w:w="22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Mira + Markus</w:t>
            </w:r>
          </w:p>
        </w:tc>
      </w:tr>
      <w:tr>
        <w:tc>
          <w:tcPr>
            <w:tcW w:type="dxa" w:w="5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26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1F2E"/>
                <w:sz w:val="22"/>
                <w:szCs w:val="22"/>
              </w:rPr>
              <w:t xml:space="preserve">Full rollout</w:t>
            </w:r>
          </w:p>
        </w:tc>
        <w:tc>
          <w:tcPr>
            <w:tcW w:type="dxa" w:w="4300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F2E"/>
                <w:sz w:val="22"/>
                <w:szCs w:val="22"/>
              </w:rPr>
              <w:t xml:space="preserve">Extend to L2, L3 and activate Reporting Agent once L1 pilot meets agreed KPIs.</w:t>
            </w:r>
          </w:p>
        </w:tc>
        <w:tc>
          <w:tcPr>
            <w:tcW w:type="dxa" w:w="2238"/>
            <w:tcBorders>
              <w:top w:val="single" w:color="DDE1EC" w:sz="1"/>
              <w:left w:val="single" w:color="DDE1EC" w:sz="1"/>
              <w:bottom w:val="single" w:color="DDE1EC" w:sz="1"/>
              <w:right w:val="single" w:color="DDE1EC" w:sz="1"/>
            </w:tcBorders>
            <w:shd w:fill="F4F6F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All stakeholders</w:t>
            </w:r>
          </w:p>
        </w:tc>
      </w:tr>
    </w:tbl>
    <w:p>
      <w:pPr>
        <w:spacing w:after="400" w:before="0"/>
      </w:pPr>
      <w:r>
        <w:rPr>
          <w:rFonts w:ascii="Arial" w:cs="Arial" w:eastAsia="Arial" w:hAnsi="Arial"/>
          <w:color w:val="1A1F2E"/>
          <w:sz w:val="22"/>
          <w:szCs w:val="22"/>
        </w:rPr>
        <w:t xml:space="preserve"/>
      </w:r>
    </w:p>
    <w:p>
      <w:pPr>
        <w:pBdr>
          <w:top w:val="single" w:color="C0392B" w:sz="8" w:space="8"/>
        </w:pBdr>
        <w:spacing w:after="60" w:before="200"/>
        <w:jc w:val="center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SilverTrust AI Consulting  —  Confidential  —  June 2026</w:t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This document is prepared exclusively for Vulcan Werk. It may not be shared or reproduced without written consent from SilverTrust AI Consulting.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CE8" w:sz="4" w:space="6"/>
      </w:pBd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Confidential  —  June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CE8" w:sz="4" w:space="6"/>
      </w:pBdr>
    </w:pPr>
    <w:r>
      <w:rPr>
        <w:rFonts w:ascii="Arial" w:cs="Arial" w:eastAsia="Arial" w:hAnsi="Arial"/>
        <w:color w:val="6B7280"/>
        <w:sz w:val="18"/>
        <w:szCs w:val="18"/>
      </w:rPr>
      <w:t xml:space="preserve">Vulcan Insight  —  Solution Proposal</w:t>
    </w:r>
    <w:r>
      <w:rPr>
        <w:rFonts w:ascii="Arial" w:cs="Arial" w:eastAsia="Arial" w:hAnsi="Arial"/>
        <w:color w:val="C0392B"/>
        <w:sz w:val="18"/>
        <w:szCs w:val="18"/>
      </w:rPr>
      <w:t xml:space="preserve">   |   SilverTrust AI Consulting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40"/>
      <w:outlineLvl w:val="0"/>
    </w:pPr>
    <w:rPr>
      <w:rFonts w:ascii="Arial" w:cs="Arial" w:eastAsia="Arial" w:hAnsi="Arial"/>
      <w:b/>
      <w:bCs/>
      <w:color w:val="FFFFF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400"/>
      <w:outlineLvl w:val="1"/>
    </w:pPr>
    <w:rPr>
      <w:rFonts w:ascii="Arial" w:cs="Arial" w:eastAsia="Arial" w:hAnsi="Arial"/>
      <w:b/>
      <w:bCs/>
      <w:color w:val="2C3E6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999ecbc318349634dbba523dedc818f67e07a7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2026-06-01T15:26:23.956Z</dcterms:created>
  <dcterms:modified xsi:type="dcterms:W3CDTF">2026-06-01T15:26:23.967Z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